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7870C" w14:textId="33CF428D" w:rsidR="005C7F85" w:rsidRPr="005C7F85" w:rsidRDefault="005C7F85" w:rsidP="005C7F85">
      <w:pPr>
        <w:widowControl w:val="0"/>
        <w:tabs>
          <w:tab w:val="right" w:pos="9639"/>
        </w:tabs>
        <w:spacing w:after="0"/>
        <w:rPr>
          <w:rFonts w:eastAsia="Times New Roman"/>
          <w:b/>
          <w:bCs/>
          <w:sz w:val="24"/>
          <w:szCs w:val="24"/>
        </w:rPr>
      </w:pPr>
      <w:bookmarkStart w:id="0" w:name="_Hlk510698672"/>
      <w:r w:rsidRPr="005C7F85">
        <w:rPr>
          <w:rFonts w:eastAsia="Times New Roman"/>
          <w:b/>
          <w:bCs/>
          <w:sz w:val="24"/>
          <w:szCs w:val="24"/>
        </w:rPr>
        <w:t>3GPP TSG RAN WG1 Meeting #10</w:t>
      </w:r>
      <w:r w:rsidR="00AB509C">
        <w:rPr>
          <w:rFonts w:eastAsia="Times New Roman"/>
          <w:b/>
          <w:bCs/>
          <w:sz w:val="24"/>
          <w:szCs w:val="24"/>
        </w:rPr>
        <w:t>2</w:t>
      </w:r>
      <w:r w:rsidRPr="005C7F85">
        <w:rPr>
          <w:rFonts w:eastAsia="Times New Roman"/>
          <w:b/>
          <w:bCs/>
          <w:sz w:val="24"/>
          <w:szCs w:val="24"/>
        </w:rPr>
        <w:t>-e</w:t>
      </w:r>
      <w:r w:rsidRPr="005C7F85">
        <w:rPr>
          <w:rFonts w:eastAsia="Times New Roman"/>
          <w:b/>
          <w:bCs/>
          <w:sz w:val="24"/>
          <w:szCs w:val="24"/>
        </w:rPr>
        <w:tab/>
        <w:t>R1-</w:t>
      </w:r>
      <w:r w:rsidR="00263D6D" w:rsidRPr="00263D6D">
        <w:rPr>
          <w:rFonts w:eastAsia="Times New Roman"/>
          <w:b/>
          <w:bCs/>
          <w:sz w:val="24"/>
          <w:szCs w:val="24"/>
        </w:rPr>
        <w:t>2006790</w:t>
      </w:r>
    </w:p>
    <w:p w14:paraId="085F90D5" w14:textId="40B5BDC0" w:rsidR="002E629B" w:rsidRDefault="00AB509C" w:rsidP="005C7F85">
      <w:pPr>
        <w:widowControl w:val="0"/>
        <w:tabs>
          <w:tab w:val="right" w:pos="9639"/>
        </w:tabs>
        <w:spacing w:after="0"/>
        <w:rPr>
          <w:rFonts w:eastAsia="Times New Roman"/>
          <w:b/>
          <w:bCs/>
          <w:sz w:val="24"/>
          <w:szCs w:val="24"/>
        </w:rPr>
      </w:pPr>
      <w:r>
        <w:rPr>
          <w:rFonts w:eastAsia="Times New Roman"/>
          <w:b/>
          <w:bCs/>
          <w:sz w:val="24"/>
          <w:szCs w:val="24"/>
        </w:rPr>
        <w:t>August</w:t>
      </w:r>
      <w:r w:rsidR="005C7F85" w:rsidRPr="005C7F85">
        <w:rPr>
          <w:rFonts w:eastAsia="Times New Roman"/>
          <w:b/>
          <w:bCs/>
          <w:sz w:val="24"/>
          <w:szCs w:val="24"/>
        </w:rPr>
        <w:t xml:space="preserve"> </w:t>
      </w:r>
      <w:r>
        <w:rPr>
          <w:rFonts w:eastAsia="Times New Roman"/>
          <w:b/>
          <w:bCs/>
          <w:sz w:val="24"/>
          <w:szCs w:val="24"/>
        </w:rPr>
        <w:t>17</w:t>
      </w:r>
      <w:r w:rsidRPr="00AB509C">
        <w:rPr>
          <w:rFonts w:eastAsia="Times New Roman"/>
          <w:b/>
          <w:bCs/>
          <w:sz w:val="24"/>
          <w:szCs w:val="24"/>
          <w:vertAlign w:val="superscript"/>
        </w:rPr>
        <w:t>th</w:t>
      </w:r>
      <w:r>
        <w:rPr>
          <w:rFonts w:eastAsia="Times New Roman"/>
          <w:b/>
          <w:bCs/>
          <w:sz w:val="24"/>
          <w:szCs w:val="24"/>
        </w:rPr>
        <w:t xml:space="preserve"> </w:t>
      </w:r>
      <w:r w:rsidR="005C7F85" w:rsidRPr="005C7F85">
        <w:rPr>
          <w:rFonts w:eastAsia="Times New Roman"/>
          <w:b/>
          <w:bCs/>
          <w:sz w:val="24"/>
          <w:szCs w:val="24"/>
        </w:rPr>
        <w:t xml:space="preserve">– </w:t>
      </w:r>
      <w:r>
        <w:rPr>
          <w:rFonts w:eastAsia="Times New Roman"/>
          <w:b/>
          <w:bCs/>
          <w:sz w:val="24"/>
          <w:szCs w:val="24"/>
        </w:rPr>
        <w:t>28</w:t>
      </w:r>
      <w:r w:rsidRPr="00AB509C">
        <w:rPr>
          <w:rFonts w:eastAsia="Times New Roman"/>
          <w:b/>
          <w:bCs/>
          <w:sz w:val="24"/>
          <w:szCs w:val="24"/>
          <w:vertAlign w:val="superscript"/>
        </w:rPr>
        <w:t>th</w:t>
      </w:r>
      <w:r w:rsidR="005C7F85" w:rsidRPr="005C7F85">
        <w:rPr>
          <w:rFonts w:eastAsia="Times New Roman"/>
          <w:b/>
          <w:bCs/>
          <w:sz w:val="24"/>
          <w:szCs w:val="24"/>
        </w:rPr>
        <w:t>, 2020</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5F9D8FAE"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8.1.1</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0C655B15" w:rsidR="002E629B" w:rsidRPr="002E629B" w:rsidRDefault="002E629B" w:rsidP="002E629B">
      <w:r w:rsidRPr="002E629B">
        <w:rPr>
          <w:lang w:eastAsia="ja-JP"/>
        </w:rPr>
        <w:t>The work item on Rel-1</w:t>
      </w:r>
      <w:r w:rsidR="00E71F44">
        <w:rPr>
          <w:lang w:eastAsia="ja-JP"/>
        </w:rPr>
        <w:t>7</w:t>
      </w:r>
      <w:r w:rsidRPr="002E629B">
        <w:rPr>
          <w:lang w:eastAsia="ja-JP"/>
        </w:rPr>
        <w:t xml:space="preserve"> MIMO enhancements has been specified [1]. </w:t>
      </w:r>
    </w:p>
    <w:p w14:paraId="62BD5923" w14:textId="0E1F35D3" w:rsidR="002E629B" w:rsidRPr="00347465" w:rsidRDefault="00347465" w:rsidP="002E629B">
      <w:pPr>
        <w:rPr>
          <w:highlight w:val="green"/>
          <w:lang w:eastAsia="ja-JP"/>
        </w:rPr>
      </w:pPr>
      <w:r>
        <w:rPr>
          <w:highlight w:val="green"/>
          <w:lang w:eastAsia="ja-JP"/>
        </w:rPr>
        <w:t>Fe</w:t>
      </w:r>
      <w:r w:rsidR="002E629B" w:rsidRPr="002E629B">
        <w:rPr>
          <w:highlight w:val="green"/>
          <w:lang w:eastAsia="ja-JP"/>
        </w:rPr>
        <w:t>MIMO WI from</w:t>
      </w:r>
      <w:r w:rsidRPr="00347465">
        <w:rPr>
          <w:highlight w:val="green"/>
          <w:lang w:eastAsia="ja-JP"/>
        </w:rPr>
        <w:t xml:space="preserve"> RP-193133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132FC8">
        <w:trPr>
          <w:trHeight w:val="3460"/>
        </w:trPr>
        <w:tc>
          <w:tcPr>
            <w:tcW w:w="9467" w:type="dxa"/>
          </w:tcPr>
          <w:p w14:paraId="3AE98C47" w14:textId="77777777" w:rsidR="001713DE" w:rsidRPr="001713DE" w:rsidRDefault="001713DE" w:rsidP="001713DE">
            <w:pPr>
              <w:overflowPunct w:val="0"/>
              <w:autoSpaceDE w:val="0"/>
              <w:autoSpaceDN w:val="0"/>
              <w:adjustRightInd w:val="0"/>
              <w:spacing w:after="0"/>
              <w:textAlignment w:val="baseline"/>
              <w:rPr>
                <w:lang w:eastAsia="ko-KR"/>
              </w:rPr>
            </w:pPr>
            <w:r w:rsidRPr="001713DE">
              <w:rPr>
                <w:lang w:eastAsia="ko-KR"/>
              </w:rPr>
              <w:t>The work item aims to specify the further enhancements identified for NR MIMO. The detailed objectives are as follows:</w:t>
            </w:r>
          </w:p>
          <w:p w14:paraId="2CB7591C" w14:textId="77777777" w:rsidR="001713DE" w:rsidRPr="001713DE" w:rsidRDefault="001713DE" w:rsidP="001713DE">
            <w:pPr>
              <w:overflowPunct w:val="0"/>
              <w:autoSpaceDE w:val="0"/>
              <w:autoSpaceDN w:val="0"/>
              <w:adjustRightInd w:val="0"/>
              <w:spacing w:after="0"/>
              <w:textAlignment w:val="baseline"/>
              <w:rPr>
                <w:lang w:eastAsia="ko-KR"/>
              </w:rPr>
            </w:pPr>
          </w:p>
          <w:p w14:paraId="10E24E6F" w14:textId="77777777" w:rsidR="001713DE" w:rsidRPr="001713DE" w:rsidRDefault="001713DE" w:rsidP="001713DE">
            <w:pPr>
              <w:numPr>
                <w:ilvl w:val="0"/>
                <w:numId w:val="5"/>
              </w:numPr>
              <w:overflowPunct w:val="0"/>
              <w:autoSpaceDE w:val="0"/>
              <w:autoSpaceDN w:val="0"/>
              <w:adjustRightInd w:val="0"/>
              <w:snapToGrid w:val="0"/>
              <w:spacing w:after="120"/>
              <w:ind w:right="-99"/>
              <w:textAlignment w:val="baseline"/>
              <w:rPr>
                <w:color w:val="000000"/>
                <w:lang w:eastAsia="ko-KR"/>
              </w:rPr>
            </w:pPr>
            <w:r w:rsidRPr="001713DE">
              <w:rPr>
                <w:color w:val="000000"/>
                <w:lang w:eastAsia="ko-KR"/>
              </w:rPr>
              <w:t>Extend specification support in the following areas [RAN1]</w:t>
            </w:r>
          </w:p>
          <w:p w14:paraId="54E7A1D5" w14:textId="77777777" w:rsidR="001713DE" w:rsidRPr="001713DE" w:rsidRDefault="001713DE" w:rsidP="003E58C9">
            <w:pPr>
              <w:numPr>
                <w:ilvl w:val="0"/>
                <w:numId w:val="7"/>
              </w:numPr>
              <w:overflowPunct w:val="0"/>
              <w:autoSpaceDE w:val="0"/>
              <w:autoSpaceDN w:val="0"/>
              <w:adjustRightInd w:val="0"/>
              <w:spacing w:after="0"/>
              <w:jc w:val="both"/>
              <w:textAlignment w:val="baseline"/>
              <w:rPr>
                <w:rFonts w:eastAsia="Malgun Gothic"/>
              </w:rPr>
            </w:pPr>
            <w:r w:rsidRPr="001713DE">
              <w:rPr>
                <w:rFonts w:eastAsia="Malgun Gothic"/>
              </w:rPr>
              <w:t xml:space="preserve">Enhancement on multi-beam operation, mainly targeting FR2 while also applicable to FR1: </w:t>
            </w:r>
          </w:p>
          <w:p w14:paraId="55385A58" w14:textId="77777777" w:rsidR="001713DE" w:rsidRPr="001713DE" w:rsidRDefault="001713DE" w:rsidP="003E58C9">
            <w:pPr>
              <w:numPr>
                <w:ilvl w:val="1"/>
                <w:numId w:val="7"/>
              </w:numPr>
              <w:overflowPunct w:val="0"/>
              <w:autoSpaceDE w:val="0"/>
              <w:autoSpaceDN w:val="0"/>
              <w:adjustRightInd w:val="0"/>
              <w:spacing w:after="0"/>
              <w:jc w:val="both"/>
              <w:textAlignment w:val="baseline"/>
              <w:rPr>
                <w:rFonts w:eastAsia="Malgun Gothic"/>
              </w:rPr>
            </w:pPr>
            <w:r w:rsidRPr="001713DE">
              <w:rPr>
                <w:rFonts w:eastAsia="Malgun Gothic"/>
              </w:rPr>
              <w:t xml:space="preserve">Identify and specify features to facilitate </w:t>
            </w:r>
            <w:bookmarkStart w:id="3" w:name="_Hlk31104108"/>
            <w:r w:rsidRPr="001713DE">
              <w:rPr>
                <w:rFonts w:eastAsia="Malgun Gothic"/>
              </w:rPr>
              <w:t>more efficient (lower latency and overhead) DL/UL beam management to support higher intra- and L1/L2-centric inter-cell mobility and/or a larger number of configured TCI states</w:t>
            </w:r>
            <w:bookmarkEnd w:id="3"/>
            <w:r w:rsidRPr="001713DE">
              <w:rPr>
                <w:rFonts w:eastAsia="Malgun Gothic"/>
              </w:rPr>
              <w:t>:</w:t>
            </w:r>
          </w:p>
          <w:p w14:paraId="6DEEC65F" w14:textId="77777777" w:rsidR="001713DE" w:rsidRPr="001713DE" w:rsidRDefault="001713DE" w:rsidP="003E58C9">
            <w:pPr>
              <w:numPr>
                <w:ilvl w:val="2"/>
                <w:numId w:val="7"/>
              </w:numPr>
              <w:overflowPunct w:val="0"/>
              <w:autoSpaceDE w:val="0"/>
              <w:autoSpaceDN w:val="0"/>
              <w:adjustRightInd w:val="0"/>
              <w:spacing w:after="0"/>
              <w:jc w:val="both"/>
              <w:textAlignment w:val="baseline"/>
              <w:rPr>
                <w:rFonts w:eastAsia="Malgun Gothic"/>
              </w:rPr>
            </w:pPr>
            <w:bookmarkStart w:id="4" w:name="_Hlk31100623"/>
            <w:r w:rsidRPr="001713DE">
              <w:rPr>
                <w:rFonts w:eastAsia="Malgun Gothic"/>
              </w:rPr>
              <w:t>Common beam for data and control transmission/reception for DL and UL, especially for intra-band CA</w:t>
            </w:r>
          </w:p>
          <w:p w14:paraId="7C3D13A2" w14:textId="77777777" w:rsidR="001713DE" w:rsidRPr="001713DE" w:rsidRDefault="001713DE" w:rsidP="003E58C9">
            <w:pPr>
              <w:numPr>
                <w:ilvl w:val="2"/>
                <w:numId w:val="7"/>
              </w:numPr>
              <w:overflowPunct w:val="0"/>
              <w:autoSpaceDE w:val="0"/>
              <w:autoSpaceDN w:val="0"/>
              <w:adjustRightInd w:val="0"/>
              <w:spacing w:after="0"/>
              <w:jc w:val="both"/>
              <w:textAlignment w:val="baseline"/>
              <w:rPr>
                <w:rFonts w:eastAsia="Malgun Gothic"/>
              </w:rPr>
            </w:pPr>
            <w:bookmarkStart w:id="5" w:name="_Hlk31100636"/>
            <w:bookmarkEnd w:id="4"/>
            <w:r w:rsidRPr="001713DE">
              <w:rPr>
                <w:rFonts w:eastAsia="Malgun Gothic"/>
              </w:rPr>
              <w:t>Unified TCI framework for DL and UL beam indication</w:t>
            </w:r>
          </w:p>
          <w:bookmarkEnd w:id="5"/>
          <w:p w14:paraId="4E27280F" w14:textId="77777777" w:rsidR="001713DE" w:rsidRPr="001713DE" w:rsidRDefault="001713DE" w:rsidP="003E58C9">
            <w:pPr>
              <w:numPr>
                <w:ilvl w:val="2"/>
                <w:numId w:val="7"/>
              </w:numPr>
              <w:overflowPunct w:val="0"/>
              <w:autoSpaceDE w:val="0"/>
              <w:autoSpaceDN w:val="0"/>
              <w:adjustRightInd w:val="0"/>
              <w:spacing w:after="0"/>
              <w:jc w:val="both"/>
              <w:textAlignment w:val="baseline"/>
              <w:rPr>
                <w:rFonts w:eastAsia="Malgun Gothic"/>
              </w:rPr>
            </w:pPr>
            <w:r w:rsidRPr="001713DE">
              <w:rPr>
                <w:rFonts w:eastAsia="Malgun Gothic"/>
              </w:rPr>
              <w:t>Enhancement on signaling mechanisms for the above features to improve latency and efficiency with more usage of dynamic control signaling (as opposed to RRC)</w:t>
            </w:r>
          </w:p>
          <w:p w14:paraId="4F38AB2E" w14:textId="77777777" w:rsidR="001713DE" w:rsidRPr="001713DE" w:rsidRDefault="001713DE" w:rsidP="003E58C9">
            <w:pPr>
              <w:numPr>
                <w:ilvl w:val="1"/>
                <w:numId w:val="7"/>
              </w:numPr>
              <w:overflowPunct w:val="0"/>
              <w:autoSpaceDE w:val="0"/>
              <w:autoSpaceDN w:val="0"/>
              <w:adjustRightInd w:val="0"/>
              <w:spacing w:after="0"/>
              <w:jc w:val="both"/>
              <w:textAlignment w:val="baseline"/>
              <w:rPr>
                <w:rFonts w:eastAsia="Malgun Gothic"/>
              </w:rPr>
            </w:pPr>
            <w:r w:rsidRPr="001713DE">
              <w:rPr>
                <w:rFonts w:eastAsia="Malgun Gothic"/>
              </w:rPr>
              <w:t xml:space="preserve">Identify and specify features to facilitate </w:t>
            </w:r>
            <w:bookmarkStart w:id="6" w:name="_Hlk31100799"/>
            <w:r w:rsidRPr="001713DE">
              <w:rPr>
                <w:rFonts w:eastAsia="Malgun Gothic"/>
              </w:rPr>
              <w:t xml:space="preserve">UL beam selection for UEs equipped with multiple panels, considering UL coverage loss mitigation due to MPE, based on UL beam indication with the unified TCI framework for UL fast panel selection </w:t>
            </w:r>
            <w:bookmarkEnd w:id="6"/>
          </w:p>
          <w:p w14:paraId="03A5324A" w14:textId="3BA18CD0" w:rsidR="002E629B" w:rsidRPr="002E629B" w:rsidRDefault="002E629B" w:rsidP="001713DE">
            <w:pPr>
              <w:spacing w:after="0"/>
              <w:rPr>
                <w:rFonts w:ascii="PMingLiU" w:eastAsia="PMingLiU" w:hAnsi="PMingLiU" w:cstheme="minorBidi"/>
                <w:sz w:val="22"/>
                <w:szCs w:val="22"/>
                <w:lang w:val="en-US" w:eastAsia="ko-KR"/>
              </w:rPr>
            </w:pPr>
          </w:p>
        </w:tc>
      </w:tr>
    </w:tbl>
    <w:p w14:paraId="4A56C2A8" w14:textId="5C8962AC" w:rsidR="008C7EB5" w:rsidRDefault="001708B7" w:rsidP="008C7EB5">
      <w:pPr>
        <w:rPr>
          <w:lang w:eastAsia="ja-JP"/>
        </w:rPr>
      </w:pPr>
      <w:bookmarkStart w:id="7" w:name="_Hlk525732985"/>
      <w:r w:rsidRPr="002E629B">
        <w:rPr>
          <w:lang w:eastAsia="ja-JP"/>
        </w:rPr>
        <w:t>The WI for Rel-1</w:t>
      </w:r>
      <w:r w:rsidR="008C7EB5">
        <w:rPr>
          <w:lang w:eastAsia="ja-JP"/>
        </w:rPr>
        <w:t>7</w:t>
      </w:r>
      <w:r w:rsidRPr="002E629B">
        <w:rPr>
          <w:lang w:eastAsia="ja-JP"/>
        </w:rPr>
        <w:t xml:space="preserve"> </w:t>
      </w:r>
      <w:r w:rsidR="008C7EB5">
        <w:rPr>
          <w:lang w:eastAsia="ja-JP"/>
        </w:rPr>
        <w:t xml:space="preserve">has the following key features, which will be discussed in separate sections in this contribution. </w:t>
      </w:r>
    </w:p>
    <w:p w14:paraId="56C2081C" w14:textId="32529908" w:rsidR="008C7EB5" w:rsidRPr="001713DE" w:rsidRDefault="00081F6C" w:rsidP="003E58C9">
      <w:pPr>
        <w:pStyle w:val="ListParagraph"/>
        <w:numPr>
          <w:ilvl w:val="0"/>
          <w:numId w:val="8"/>
        </w:numPr>
        <w:rPr>
          <w:rFonts w:ascii="Times New Roman" w:eastAsia="Malgun Gothic" w:hAnsi="Times New Roman" w:cs="Times New Roman"/>
          <w:sz w:val="20"/>
          <w:szCs w:val="20"/>
        </w:rPr>
      </w:pPr>
      <w:r>
        <w:rPr>
          <w:rFonts w:ascii="Times New Roman" w:eastAsia="Malgun Gothic" w:hAnsi="Times New Roman" w:cs="Times New Roman"/>
          <w:sz w:val="20"/>
          <w:szCs w:val="20"/>
        </w:rPr>
        <w:t>Overhead and latency reduction, considering c</w:t>
      </w:r>
      <w:r w:rsidR="008C7EB5" w:rsidRPr="001713DE">
        <w:rPr>
          <w:rFonts w:ascii="Times New Roman" w:eastAsia="Malgun Gothic" w:hAnsi="Times New Roman" w:cs="Times New Roman"/>
          <w:sz w:val="20"/>
          <w:szCs w:val="20"/>
        </w:rPr>
        <w:t>ommon beam for data and control for DL and UL</w:t>
      </w:r>
    </w:p>
    <w:p w14:paraId="7438FF9E" w14:textId="77777777" w:rsidR="008C7EB5" w:rsidRPr="008C7EB5" w:rsidRDefault="008C7EB5" w:rsidP="003E58C9">
      <w:pPr>
        <w:pStyle w:val="ListParagraph"/>
        <w:numPr>
          <w:ilvl w:val="0"/>
          <w:numId w:val="8"/>
        </w:numPr>
        <w:rPr>
          <w:rFonts w:ascii="Times New Roman" w:eastAsia="Malgun Gothic" w:hAnsi="Times New Roman" w:cs="Times New Roman"/>
          <w:sz w:val="20"/>
          <w:szCs w:val="20"/>
        </w:rPr>
      </w:pPr>
      <w:r w:rsidRPr="008C7EB5">
        <w:rPr>
          <w:rFonts w:ascii="Times New Roman" w:eastAsia="Malgun Gothic" w:hAnsi="Times New Roman" w:cs="Times New Roman"/>
          <w:sz w:val="20"/>
          <w:szCs w:val="20"/>
        </w:rPr>
        <w:t>Unified TCI framework for DL and UL beam indication</w:t>
      </w:r>
    </w:p>
    <w:p w14:paraId="5DE25762" w14:textId="6CBB9B80" w:rsidR="00F54A0B" w:rsidRPr="008C7EB5" w:rsidRDefault="00F54A0B" w:rsidP="003E58C9">
      <w:pPr>
        <w:pStyle w:val="ListParagraph"/>
        <w:numPr>
          <w:ilvl w:val="0"/>
          <w:numId w:val="8"/>
        </w:numPr>
        <w:rPr>
          <w:rFonts w:ascii="Times New Roman" w:eastAsia="Malgun Gothic" w:hAnsi="Times New Roman" w:cs="Times New Roman"/>
          <w:sz w:val="20"/>
          <w:szCs w:val="20"/>
        </w:rPr>
      </w:pPr>
      <w:r>
        <w:rPr>
          <w:rFonts w:ascii="Times New Roman" w:eastAsia="Malgun Gothic" w:hAnsi="Times New Roman" w:cs="Times New Roman"/>
          <w:sz w:val="20"/>
          <w:szCs w:val="20"/>
        </w:rPr>
        <w:t>M</w:t>
      </w:r>
      <w:r w:rsidRPr="00F54A0B">
        <w:rPr>
          <w:rFonts w:ascii="Times New Roman" w:eastAsia="Malgun Gothic" w:hAnsi="Times New Roman" w:cs="Times New Roman"/>
          <w:sz w:val="20"/>
          <w:szCs w:val="20"/>
        </w:rPr>
        <w:t>ore efficient (lower latency and overhead) DL/UL beam management to support higher intra- and L1/L2-centric inter-cell mobility and/or a larger number of configured TCI states</w:t>
      </w:r>
    </w:p>
    <w:p w14:paraId="3F6BCCEC" w14:textId="71F9596A" w:rsidR="008C7EB5" w:rsidRPr="008C7EB5" w:rsidRDefault="008C7EB5" w:rsidP="003E58C9">
      <w:pPr>
        <w:pStyle w:val="ListParagraph"/>
        <w:numPr>
          <w:ilvl w:val="0"/>
          <w:numId w:val="8"/>
        </w:numPr>
        <w:rPr>
          <w:rFonts w:ascii="Times New Roman" w:hAnsi="Times New Roman" w:cs="Times New Roman"/>
          <w:sz w:val="20"/>
          <w:szCs w:val="20"/>
          <w:lang w:eastAsia="ja-JP"/>
        </w:rPr>
      </w:pPr>
      <w:r w:rsidRPr="008C7EB5">
        <w:rPr>
          <w:rFonts w:ascii="Times New Roman" w:eastAsia="Malgun Gothic" w:hAnsi="Times New Roman" w:cs="Times New Roman"/>
          <w:sz w:val="20"/>
          <w:szCs w:val="20"/>
        </w:rPr>
        <w:t>UL beam selection for UEs equipped with multiple panels, considering UL coverage loss mitigation due to MPE, based on UL beam indication with the unified TCI framework for UL fast panel selection</w:t>
      </w:r>
    </w:p>
    <w:bookmarkEnd w:id="7"/>
    <w:p w14:paraId="4153B7A4" w14:textId="7553E92C" w:rsidR="002E629B" w:rsidRPr="007A0368" w:rsidRDefault="00081F6C" w:rsidP="007A036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Overhead and Latency Reduction</w:t>
      </w:r>
    </w:p>
    <w:p w14:paraId="1281067E" w14:textId="19FE4331" w:rsidR="00D565F4" w:rsidRPr="00FC4CA5" w:rsidRDefault="00FC4CA5" w:rsidP="00D565F4">
      <w:pPr>
        <w:jc w:val="both"/>
      </w:pPr>
      <w:r>
        <w:t>As one item in WID, the common beam for DL/UL data and control may reduce beam management latency/</w:t>
      </w:r>
      <w:r w:rsidR="005C7E1E">
        <w:t>overhead</w:t>
      </w:r>
      <w:r>
        <w:t xml:space="preserve"> via joint beam switching. The basic feature of common beam has been supported in current spec. In </w:t>
      </w:r>
      <w:r w:rsidR="00D565F4" w:rsidRPr="00D565F4">
        <w:rPr>
          <w:lang w:val="en-US"/>
        </w:rPr>
        <w:t>R15</w:t>
      </w:r>
      <w:r>
        <w:rPr>
          <w:lang w:val="en-US"/>
        </w:rPr>
        <w:t>,</w:t>
      </w:r>
      <w:r w:rsidR="00D565F4" w:rsidRPr="00D565F4">
        <w:rPr>
          <w:lang w:val="en-US"/>
        </w:rPr>
        <w:t xml:space="preserve"> PDSCH beam follows scheduling PDCCH beam if no TCI field in DCI and scheduling offset &gt; threshold</w:t>
      </w:r>
      <w:r>
        <w:rPr>
          <w:lang w:val="en-US"/>
        </w:rPr>
        <w:t>.</w:t>
      </w:r>
      <w:r>
        <w:t xml:space="preserve"> In </w:t>
      </w:r>
      <w:r w:rsidR="00D565F4" w:rsidRPr="00D565F4">
        <w:rPr>
          <w:lang w:val="en-US"/>
        </w:rPr>
        <w:t>R16</w:t>
      </w:r>
      <w:r>
        <w:rPr>
          <w:lang w:val="en-US"/>
        </w:rPr>
        <w:t>,</w:t>
      </w:r>
      <w:r w:rsidR="00D565F4" w:rsidRPr="00D565F4">
        <w:rPr>
          <w:lang w:val="en-US"/>
        </w:rPr>
        <w:t xml:space="preserve"> </w:t>
      </w:r>
      <w:r>
        <w:rPr>
          <w:lang w:val="en-US"/>
        </w:rPr>
        <w:t>d</w:t>
      </w:r>
      <w:r w:rsidR="00D565F4" w:rsidRPr="00D565F4">
        <w:rPr>
          <w:lang w:val="en-US"/>
        </w:rPr>
        <w:t>efault UL beam of PUCCH/SRS/PUSCH follows the beam of CORESET with lowest ID</w:t>
      </w:r>
      <w:r>
        <w:rPr>
          <w:lang w:val="en-US"/>
        </w:rPr>
        <w:t xml:space="preserve">. Therefore, one limiting factor </w:t>
      </w:r>
      <w:r w:rsidR="0061324B">
        <w:rPr>
          <w:lang w:val="en-US"/>
        </w:rPr>
        <w:t>for</w:t>
      </w:r>
      <w:r>
        <w:rPr>
          <w:lang w:val="en-US"/>
        </w:rPr>
        <w:t xml:space="preserve"> the common beam switch latency is the CORESET beam switch, </w:t>
      </w:r>
      <w:r w:rsidR="0061324B">
        <w:rPr>
          <w:lang w:val="en-US"/>
        </w:rPr>
        <w:t xml:space="preserve">which is currently performed via MAC-CE with a latency of 3ms. In certain high-speed scenarios, the 3ms latency is comparable to the CORESET beam dwelling time. </w:t>
      </w:r>
    </w:p>
    <w:p w14:paraId="11C41A61" w14:textId="2CE520FD" w:rsidR="00255BE3" w:rsidRDefault="0061324B" w:rsidP="002E629B">
      <w:pPr>
        <w:jc w:val="both"/>
      </w:pPr>
      <w:r>
        <w:lastRenderedPageBreak/>
        <w:t xml:space="preserve">To illustrate the impact of 3ms beam switch latency, we consider the high-speed train scenario and plot the corresponding beam dwelling time in </w:t>
      </w:r>
      <w:r w:rsidR="00C93572">
        <w:t>Figure 1</w:t>
      </w:r>
      <w:r>
        <w:t xml:space="preserve">. The beam dwelling time represents the time that UE will stay in the </w:t>
      </w:r>
      <w:r w:rsidR="0073000D">
        <w:t>gNB</w:t>
      </w:r>
      <w:r w:rsidR="00922433">
        <w:t>’s</w:t>
      </w:r>
      <w:r w:rsidR="0073000D">
        <w:t xml:space="preserve"> </w:t>
      </w:r>
      <w:r>
        <w:t xml:space="preserve">beam width. Its value depends on </w:t>
      </w:r>
      <w:r w:rsidR="00922433">
        <w:t xml:space="preserve">gNB’s </w:t>
      </w:r>
      <w:r>
        <w:t xml:space="preserve">beam width, </w:t>
      </w:r>
      <w:r w:rsidR="00855D76">
        <w:t xml:space="preserve">distance between RRH and </w:t>
      </w:r>
      <w:r w:rsidR="00255BE3">
        <w:t xml:space="preserve">the centre of the two </w:t>
      </w:r>
      <w:r w:rsidR="00855D76">
        <w:t>track</w:t>
      </w:r>
      <w:r w:rsidR="00255BE3">
        <w:t>s</w:t>
      </w:r>
      <w:r w:rsidR="00855D76">
        <w:t xml:space="preserve">, and train speed. </w:t>
      </w:r>
      <w:r w:rsidR="00255BE3">
        <w:t>For 10</w:t>
      </w:r>
      <w:r w:rsidR="00255BE3">
        <w:sym w:font="Symbol" w:char="F0B0"/>
      </w:r>
      <w:r w:rsidR="00255BE3">
        <w:t xml:space="preserve"> </w:t>
      </w:r>
      <w:r w:rsidR="006771D0">
        <w:t>gNB</w:t>
      </w:r>
      <w:r w:rsidR="00922433">
        <w:t>’s</w:t>
      </w:r>
      <w:r w:rsidR="006771D0">
        <w:t xml:space="preserve"> </w:t>
      </w:r>
      <w:r w:rsidR="00255BE3">
        <w:t>beam width, 10m distance, and 250km/h speed, similar to that in [2], the beam dwelling time is about 2</w:t>
      </w:r>
      <w:r w:rsidR="008A38A6">
        <w:t>7</w:t>
      </w:r>
      <w:r w:rsidR="00255BE3">
        <w:t xml:space="preserve">ms. </w:t>
      </w:r>
      <w:r w:rsidR="009C2854">
        <w:t>It</w:t>
      </w:r>
      <w:r w:rsidR="008A38A6">
        <w:t xml:space="preserve"> </w:t>
      </w:r>
      <w:r w:rsidR="00F53AAA">
        <w:t>is</w:t>
      </w:r>
      <w:r w:rsidR="00D1595A">
        <w:t xml:space="preserve"> further reduced to 12ms for 5m distance. </w:t>
      </w:r>
    </w:p>
    <w:p w14:paraId="1BC0A078" w14:textId="77777777" w:rsidR="000F4161" w:rsidRDefault="000F4161" w:rsidP="000F4161">
      <w:pPr>
        <w:jc w:val="both"/>
      </w:pPr>
      <w:r>
        <w:rPr>
          <w:noProof/>
        </w:rPr>
        <w:drawing>
          <wp:inline distT="0" distB="0" distL="0" distR="0" wp14:anchorId="6704EF3F" wp14:editId="435B3C39">
            <wp:extent cx="5943600" cy="2711450"/>
            <wp:effectExtent l="0" t="0" r="0" b="0"/>
            <wp:docPr id="7" name="Picture 6">
              <a:extLst xmlns:a="http://schemas.openxmlformats.org/drawingml/2006/main">
                <a:ext uri="{FF2B5EF4-FFF2-40B4-BE49-F238E27FC236}">
                  <a16:creationId xmlns:a16="http://schemas.microsoft.com/office/drawing/2014/main" id="{FD26794C-AD80-4041-8A62-6F6F4C95AB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D26794C-AD80-4041-8A62-6F6F4C95ABB9}"/>
                        </a:ext>
                      </a:extLst>
                    </pic:cNvPr>
                    <pic:cNvPicPr>
                      <a:picLocks noChangeAspect="1"/>
                    </pic:cNvPicPr>
                  </pic:nvPicPr>
                  <pic:blipFill>
                    <a:blip r:embed="rId13"/>
                    <a:stretch>
                      <a:fillRect/>
                    </a:stretch>
                  </pic:blipFill>
                  <pic:spPr>
                    <a:xfrm>
                      <a:off x="0" y="0"/>
                      <a:ext cx="5943600" cy="2711450"/>
                    </a:xfrm>
                    <a:prstGeom prst="rect">
                      <a:avLst/>
                    </a:prstGeom>
                  </pic:spPr>
                </pic:pic>
              </a:graphicData>
            </a:graphic>
          </wp:inline>
        </w:drawing>
      </w:r>
    </w:p>
    <w:p w14:paraId="47D8E639" w14:textId="77777777" w:rsidR="000F4161" w:rsidRDefault="000F4161" w:rsidP="000F4161">
      <w:pPr>
        <w:spacing w:after="200"/>
        <w:jc w:val="center"/>
        <w:rPr>
          <w:b/>
          <w:iCs/>
          <w:szCs w:val="22"/>
        </w:rPr>
      </w:pPr>
      <w:bookmarkStart w:id="8" w:name="_Ref525641157"/>
      <w:r w:rsidRPr="00723189">
        <w:rPr>
          <w:b/>
          <w:iCs/>
          <w:szCs w:val="22"/>
        </w:rPr>
        <w:t>Figure</w:t>
      </w:r>
      <w:bookmarkEnd w:id="8"/>
      <w:r>
        <w:rPr>
          <w:b/>
          <w:iCs/>
          <w:szCs w:val="22"/>
        </w:rPr>
        <w:t xml:space="preserve"> 1</w:t>
      </w:r>
      <w:r w:rsidRPr="00723189">
        <w:rPr>
          <w:b/>
          <w:iCs/>
          <w:szCs w:val="22"/>
        </w:rPr>
        <w:t xml:space="preserve">: </w:t>
      </w:r>
      <w:r>
        <w:rPr>
          <w:b/>
          <w:iCs/>
          <w:szCs w:val="22"/>
        </w:rPr>
        <w:t>Beam Dwelling Time for HST Scenario</w:t>
      </w:r>
    </w:p>
    <w:p w14:paraId="60A71520" w14:textId="32DB2576" w:rsidR="00D1595A" w:rsidRDefault="00D1595A" w:rsidP="002E629B">
      <w:pPr>
        <w:jc w:val="both"/>
      </w:pPr>
      <w:r>
        <w:t xml:space="preserve">To reduce </w:t>
      </w:r>
      <w:r w:rsidR="0093137E">
        <w:t xml:space="preserve">beam switch </w:t>
      </w:r>
      <w:r>
        <w:t xml:space="preserve">latency, we propose to consider DCI based TCI state update for PDCCH, which can reduce the latency to a few slots, e.g. 2 slots </w:t>
      </w:r>
      <w:r w:rsidR="002D0923">
        <w:t>(0.25ms)</w:t>
      </w:r>
      <w:r w:rsidR="00254F20">
        <w:t>, depending on</w:t>
      </w:r>
      <w:r w:rsidR="002D0923">
        <w:t xml:space="preserve"> </w:t>
      </w:r>
      <w:r>
        <w:t xml:space="preserve">UE beam switch latency capability. </w:t>
      </w:r>
      <w:r w:rsidR="0050079E">
        <w:t xml:space="preserve">Therefore, the common beam can be more </w:t>
      </w:r>
      <w:r w:rsidR="00102380">
        <w:t>quickly</w:t>
      </w:r>
      <w:r w:rsidR="00254F20">
        <w:t xml:space="preserve"> switched</w:t>
      </w:r>
      <w:r w:rsidR="0050079E">
        <w:t xml:space="preserve"> </w:t>
      </w:r>
      <w:r w:rsidR="00102380">
        <w:t xml:space="preserve">at least </w:t>
      </w:r>
      <w:r w:rsidR="0050079E">
        <w:t xml:space="preserve">for the HST scenario. In addition, the DCI based TCI state update is already supported for PDSCH. </w:t>
      </w:r>
    </w:p>
    <w:p w14:paraId="2AE59778" w14:textId="2EDC6B01" w:rsidR="00BC36CE" w:rsidRPr="00C0166C" w:rsidRDefault="002E629B" w:rsidP="008C0CD1">
      <w:pPr>
        <w:jc w:val="both"/>
        <w:rPr>
          <w:b/>
          <w:lang w:eastAsia="ja-JP"/>
        </w:rPr>
      </w:pPr>
      <w:r w:rsidRPr="002E629B">
        <w:rPr>
          <w:b/>
          <w:u w:val="single"/>
          <w:lang w:eastAsia="ja-JP"/>
        </w:rPr>
        <w:t xml:space="preserve">Proposal </w:t>
      </w:r>
      <w:r w:rsidR="00004F9E">
        <w:rPr>
          <w:b/>
          <w:u w:val="single"/>
          <w:lang w:eastAsia="ja-JP"/>
        </w:rPr>
        <w:t>1</w:t>
      </w:r>
      <w:r w:rsidRPr="002E629B">
        <w:rPr>
          <w:b/>
          <w:lang w:eastAsia="ja-JP"/>
        </w:rPr>
        <w:t xml:space="preserve">: </w:t>
      </w:r>
      <w:r w:rsidR="00E2193E">
        <w:rPr>
          <w:b/>
          <w:lang w:eastAsia="ja-JP"/>
        </w:rPr>
        <w:t xml:space="preserve">Support DCI based </w:t>
      </w:r>
      <w:r w:rsidR="00954E7A">
        <w:rPr>
          <w:b/>
          <w:lang w:eastAsia="ja-JP"/>
        </w:rPr>
        <w:t>beam</w:t>
      </w:r>
      <w:r w:rsidR="00D33234">
        <w:rPr>
          <w:b/>
          <w:lang w:eastAsia="ja-JP"/>
        </w:rPr>
        <w:t xml:space="preserve"> update</w:t>
      </w:r>
      <w:r w:rsidR="00FF57CD">
        <w:rPr>
          <w:b/>
          <w:lang w:eastAsia="ja-JP"/>
        </w:rPr>
        <w:t xml:space="preserve"> for PDCCH</w:t>
      </w:r>
      <w:r w:rsidR="003E3D34">
        <w:rPr>
          <w:b/>
          <w:lang w:eastAsia="ja-JP"/>
        </w:rPr>
        <w:t>.</w:t>
      </w:r>
    </w:p>
    <w:p w14:paraId="58C4A91A" w14:textId="690A900D" w:rsidR="00C0166C" w:rsidRDefault="006771D0" w:rsidP="006771D0">
      <w:pPr>
        <w:jc w:val="both"/>
      </w:pPr>
      <w:r w:rsidRPr="006771D0">
        <w:t>In R15, default PDSCH beam follows the beam of CORESET with lowest ID in latest monitored slot</w:t>
      </w:r>
      <w:r>
        <w:t>. Th</w:t>
      </w:r>
      <w:r w:rsidR="00F971EF">
        <w:t xml:space="preserve">e varying default </w:t>
      </w:r>
      <w:r w:rsidR="002046CE">
        <w:t xml:space="preserve">PDSCH </w:t>
      </w:r>
      <w:r w:rsidR="00F971EF">
        <w:t>beam across slots</w:t>
      </w:r>
      <w:r>
        <w:t xml:space="preserve"> may not be </w:t>
      </w:r>
      <w:r w:rsidR="00F971EF">
        <w:t xml:space="preserve">friendly for </w:t>
      </w:r>
      <w:r>
        <w:t>o</w:t>
      </w:r>
      <w:r w:rsidRPr="006771D0">
        <w:t>ptimization: even if that CORESET beam does not yield highest SNR, the default PDSCH beam has to follow it</w:t>
      </w:r>
      <w:r>
        <w:t xml:space="preserve">. </w:t>
      </w:r>
      <w:r w:rsidR="00591C23">
        <w:t xml:space="preserve">With the introduction of common beam, </w:t>
      </w:r>
      <w:r w:rsidRPr="006771D0">
        <w:t>default PDSCH beam can be configured to always follow the common beam optimized by certain criterion</w:t>
      </w:r>
      <w:r w:rsidR="00591C23">
        <w:t xml:space="preserve">. </w:t>
      </w:r>
      <w:r w:rsidRPr="006771D0">
        <w:t>For low mobility UE, default PDSCH beam can follow the common beam with the best SNR</w:t>
      </w:r>
      <w:r w:rsidR="00591C23">
        <w:t>, while f</w:t>
      </w:r>
      <w:r w:rsidRPr="006771D0">
        <w:t xml:space="preserve">or high mobility UE, </w:t>
      </w:r>
      <w:r w:rsidR="00591C23" w:rsidRPr="00591C23">
        <w:t xml:space="preserve">default PDSCH beam can follow the common beam with </w:t>
      </w:r>
      <w:r w:rsidR="00591C23">
        <w:t>wide beam width for</w:t>
      </w:r>
      <w:r w:rsidR="00F971EF">
        <w:t xml:space="preserve"> better tracking. Therefore, it would be beneficial to allow default PDSCH beam to follow the common beam. In addition, the </w:t>
      </w:r>
      <w:r w:rsidRPr="006771D0">
        <w:t>fixed default PDSCH beam per TRP is already supported</w:t>
      </w:r>
      <w:r w:rsidR="00F971EF">
        <w:t xml:space="preserve"> in R16 single DCI based mTRP</w:t>
      </w:r>
      <w:r w:rsidRPr="006771D0">
        <w:t xml:space="preserve"> and offers gNB more </w:t>
      </w:r>
      <w:r w:rsidR="00A50364">
        <w:t xml:space="preserve">flexibility for </w:t>
      </w:r>
      <w:r w:rsidRPr="006771D0">
        <w:t>optimization</w:t>
      </w:r>
      <w:r w:rsidR="00F971EF">
        <w:t>.</w:t>
      </w:r>
    </w:p>
    <w:p w14:paraId="68F08640" w14:textId="21AB7AD8" w:rsidR="002E629B" w:rsidRPr="0017018C" w:rsidRDefault="008C0CD1" w:rsidP="002E629B">
      <w:pPr>
        <w:jc w:val="both"/>
        <w:rPr>
          <w:b/>
          <w:lang w:eastAsia="ja-JP"/>
        </w:rPr>
      </w:pPr>
      <w:bookmarkStart w:id="9" w:name="_Hlk31121764"/>
      <w:r w:rsidRPr="0017018C">
        <w:rPr>
          <w:b/>
          <w:u w:val="single"/>
          <w:lang w:eastAsia="ja-JP"/>
        </w:rPr>
        <w:t xml:space="preserve">Proposal </w:t>
      </w:r>
      <w:r w:rsidR="00004F9E">
        <w:rPr>
          <w:b/>
          <w:u w:val="single"/>
          <w:lang w:eastAsia="ja-JP"/>
        </w:rPr>
        <w:t>2</w:t>
      </w:r>
      <w:r w:rsidRPr="0017018C">
        <w:rPr>
          <w:b/>
          <w:lang w:eastAsia="ja-JP"/>
        </w:rPr>
        <w:t xml:space="preserve">: Support </w:t>
      </w:r>
      <w:bookmarkEnd w:id="9"/>
      <w:r w:rsidR="0017018C">
        <w:rPr>
          <w:b/>
          <w:lang w:eastAsia="ja-JP"/>
        </w:rPr>
        <w:t>including default PDSCH beam in the common beam.</w:t>
      </w:r>
    </w:p>
    <w:p w14:paraId="1A3EBFE3" w14:textId="2B2F2422" w:rsidR="007C4E9B" w:rsidRPr="007C4E9B" w:rsidRDefault="007C4E9B" w:rsidP="007C4E9B">
      <w:pPr>
        <w:jc w:val="both"/>
      </w:pPr>
      <w:r w:rsidRPr="007C4E9B">
        <w:t xml:space="preserve">For UEs in close proximity, a common beam can be selected for them to save </w:t>
      </w:r>
      <w:r>
        <w:t xml:space="preserve">beam management </w:t>
      </w:r>
      <w:r w:rsidRPr="007C4E9B">
        <w:t>latency</w:t>
      </w:r>
      <w:r w:rsidR="005569B8">
        <w:t>/overhead</w:t>
      </w:r>
      <w:r>
        <w:t xml:space="preserve">. </w:t>
      </w:r>
      <w:r w:rsidR="00966C21">
        <w:t>In addition, i</w:t>
      </w:r>
      <w:r w:rsidRPr="007C4E9B">
        <w:t xml:space="preserve">n </w:t>
      </w:r>
      <w:r>
        <w:t>IIOT scenario</w:t>
      </w:r>
      <w:r w:rsidRPr="007C4E9B">
        <w:t xml:space="preserve">, a UE may not need large bandwidth. It would be </w:t>
      </w:r>
      <w:r w:rsidR="004D1E44">
        <w:t xml:space="preserve">more </w:t>
      </w:r>
      <w:r w:rsidRPr="007C4E9B">
        <w:t>efficient to group UEs that can be served by a wider common beam and FDM them, instead of individual UE-specific narrower beams but with more symbols</w:t>
      </w:r>
      <w:r>
        <w:t xml:space="preserve">. </w:t>
      </w:r>
      <w:r w:rsidRPr="007C4E9B">
        <w:t>The common beam can be updated via a group common DCI for a UE group</w:t>
      </w:r>
      <w:r>
        <w:t xml:space="preserve">. </w:t>
      </w:r>
      <w:r w:rsidRPr="007C4E9B">
        <w:t>The beam measurement &amp; report can be done by one UE in the group</w:t>
      </w:r>
      <w:r>
        <w:t xml:space="preserve">. </w:t>
      </w:r>
      <w:r w:rsidRPr="007C4E9B">
        <w:t>gNB can learn the UEs sharing the same group via positioning report or UE feedback of group formation</w:t>
      </w:r>
      <w:r>
        <w:t>, e</w:t>
      </w:r>
      <w:r w:rsidRPr="007C4E9B">
        <w:t xml:space="preserve">.g. UEs installed </w:t>
      </w:r>
      <w:r w:rsidR="008108F5">
        <w:t>on</w:t>
      </w:r>
      <w:r w:rsidRPr="007C4E9B">
        <w:t xml:space="preserve"> the same moving object, e.g. car/train/robot, can in</w:t>
      </w:r>
      <w:r>
        <w:t>form</w:t>
      </w:r>
      <w:r w:rsidRPr="007C4E9B">
        <w:t xml:space="preserve"> gNB</w:t>
      </w:r>
      <w:r>
        <w:t xml:space="preserve"> that a common beam can be selected for them. </w:t>
      </w:r>
    </w:p>
    <w:p w14:paraId="7BA330D4" w14:textId="6E8DF6F2" w:rsidR="00385626" w:rsidRPr="0017018C" w:rsidRDefault="00385626" w:rsidP="00385626">
      <w:pPr>
        <w:jc w:val="both"/>
        <w:rPr>
          <w:b/>
          <w:lang w:eastAsia="ja-JP"/>
        </w:rPr>
      </w:pPr>
      <w:r w:rsidRPr="0017018C">
        <w:rPr>
          <w:b/>
          <w:u w:val="single"/>
          <w:lang w:eastAsia="ja-JP"/>
        </w:rPr>
        <w:t xml:space="preserve">Proposal </w:t>
      </w:r>
      <w:r w:rsidR="00004F9E">
        <w:rPr>
          <w:b/>
          <w:u w:val="single"/>
          <w:lang w:eastAsia="ja-JP"/>
        </w:rPr>
        <w:t>3</w:t>
      </w:r>
      <w:r w:rsidRPr="0017018C">
        <w:rPr>
          <w:b/>
          <w:lang w:eastAsia="ja-JP"/>
        </w:rPr>
        <w:t xml:space="preserve">: Support </w:t>
      </w:r>
      <w:r w:rsidR="003E3933">
        <w:rPr>
          <w:b/>
          <w:lang w:eastAsia="ja-JP"/>
        </w:rPr>
        <w:t xml:space="preserve">a </w:t>
      </w:r>
      <w:r>
        <w:rPr>
          <w:b/>
          <w:lang w:eastAsia="ja-JP"/>
        </w:rPr>
        <w:t xml:space="preserve">common beam </w:t>
      </w:r>
      <w:r w:rsidR="00E60A57">
        <w:rPr>
          <w:b/>
          <w:lang w:eastAsia="ja-JP"/>
        </w:rPr>
        <w:t>selected for</w:t>
      </w:r>
      <w:r>
        <w:rPr>
          <w:b/>
          <w:lang w:eastAsia="ja-JP"/>
        </w:rPr>
        <w:t xml:space="preserve"> a group of UEs.</w:t>
      </w:r>
    </w:p>
    <w:p w14:paraId="51B8965E" w14:textId="02AB3CDE" w:rsidR="0017018C" w:rsidRPr="00385626" w:rsidRDefault="00FC1762" w:rsidP="0074369B">
      <w:pPr>
        <w:jc w:val="both"/>
      </w:pPr>
      <w:r>
        <w:t xml:space="preserve">In R16, PL RS can be updated </w:t>
      </w:r>
      <w:r w:rsidR="00F1113C">
        <w:t xml:space="preserve">by MAC-CE </w:t>
      </w:r>
      <w:r>
        <w:t xml:space="preserve">for </w:t>
      </w:r>
      <w:r w:rsidR="00F1113C">
        <w:t>a</w:t>
      </w:r>
      <w:r w:rsidR="00B73B8A">
        <w:t>n</w:t>
      </w:r>
      <w:r w:rsidR="00F1113C">
        <w:t xml:space="preserve"> SRI </w:t>
      </w:r>
      <w:r w:rsidR="00190C83">
        <w:t>associated with</w:t>
      </w:r>
      <w:r w:rsidR="00F1113C">
        <w:t xml:space="preserve"> </w:t>
      </w:r>
      <w:r>
        <w:t>PUSCH</w:t>
      </w:r>
      <w:r w:rsidR="00F1113C">
        <w:t xml:space="preserve"> or for a</w:t>
      </w:r>
      <w:r w:rsidR="00B73B8A">
        <w:t>n</w:t>
      </w:r>
      <w:r w:rsidR="00F1113C">
        <w:t xml:space="preserve"> </w:t>
      </w:r>
      <w:r>
        <w:t xml:space="preserve">SRS </w:t>
      </w:r>
      <w:r w:rsidR="00F1113C">
        <w:t xml:space="preserve">resource set in </w:t>
      </w:r>
      <w:r w:rsidR="00190C83">
        <w:t>each CC</w:t>
      </w:r>
      <w:r>
        <w:t xml:space="preserve">. In addition, </w:t>
      </w:r>
      <w:r w:rsidR="00FD5B8E">
        <w:t xml:space="preserve">the same spatial relation info can be </w:t>
      </w:r>
      <w:r w:rsidR="00C05E35">
        <w:t>activated for</w:t>
      </w:r>
      <w:r>
        <w:t xml:space="preserve"> a</w:t>
      </w:r>
      <w:r w:rsidR="00FD5B8E">
        <w:t xml:space="preserve">n </w:t>
      </w:r>
      <w:r>
        <w:t xml:space="preserve">SRS resource ID across CCs sharing the same </w:t>
      </w:r>
      <w:r>
        <w:lastRenderedPageBreak/>
        <w:t xml:space="preserve">UE analog beam. </w:t>
      </w:r>
      <w:r w:rsidR="00190C83">
        <w:t>T</w:t>
      </w:r>
      <w:r w:rsidR="00F1113C">
        <w:t>o further reduce the PL RS activation latency/</w:t>
      </w:r>
      <w:r w:rsidR="00190C83">
        <w:t>overhead</w:t>
      </w:r>
      <w:r w:rsidR="00F1113C">
        <w:t xml:space="preserve">, the same activated PL RS ID can also be applied to </w:t>
      </w:r>
      <w:r w:rsidR="00C05E35">
        <w:t xml:space="preserve">the same </w:t>
      </w:r>
      <w:r w:rsidR="00B46285">
        <w:t>resource/</w:t>
      </w:r>
      <w:r w:rsidR="00C05E35">
        <w:t xml:space="preserve">resource set </w:t>
      </w:r>
      <w:r w:rsidR="00190C83">
        <w:t xml:space="preserve">ID </w:t>
      </w:r>
      <w:r w:rsidR="00C05E35">
        <w:t>across CCs. This can fully exploit the property of common UE analog beam across CCs.</w:t>
      </w:r>
    </w:p>
    <w:p w14:paraId="6E1DE14A" w14:textId="4A525ABB" w:rsidR="0074369B" w:rsidRPr="002E629B" w:rsidRDefault="0074369B" w:rsidP="0074369B">
      <w:pPr>
        <w:jc w:val="both"/>
        <w:rPr>
          <w:b/>
          <w:lang w:eastAsia="ja-JP"/>
        </w:rPr>
      </w:pPr>
      <w:r w:rsidRPr="002E629B">
        <w:rPr>
          <w:b/>
          <w:u w:val="single"/>
          <w:lang w:eastAsia="ja-JP"/>
        </w:rPr>
        <w:t xml:space="preserve">Proposal </w:t>
      </w:r>
      <w:r w:rsidR="00004F9E">
        <w:rPr>
          <w:b/>
          <w:u w:val="single"/>
          <w:lang w:eastAsia="ja-JP"/>
        </w:rPr>
        <w:t>4</w:t>
      </w:r>
      <w:r w:rsidRPr="002E629B">
        <w:rPr>
          <w:b/>
          <w:lang w:eastAsia="ja-JP"/>
        </w:rPr>
        <w:t xml:space="preserve">: </w:t>
      </w:r>
      <w:r>
        <w:rPr>
          <w:b/>
          <w:lang w:eastAsia="ja-JP"/>
        </w:rPr>
        <w:t xml:space="preserve">Support </w:t>
      </w:r>
      <w:r w:rsidR="0038211B">
        <w:rPr>
          <w:b/>
          <w:lang w:eastAsia="ja-JP"/>
        </w:rPr>
        <w:t>simultaneous</w:t>
      </w:r>
      <w:r>
        <w:rPr>
          <w:b/>
          <w:lang w:eastAsia="ja-JP"/>
        </w:rPr>
        <w:t xml:space="preserve"> pathloss RS </w:t>
      </w:r>
      <w:r w:rsidR="0038211B">
        <w:rPr>
          <w:b/>
          <w:lang w:eastAsia="ja-JP"/>
        </w:rPr>
        <w:t>activation across multiple CCs</w:t>
      </w:r>
      <w:r w:rsidR="00BA27E3">
        <w:rPr>
          <w:b/>
          <w:lang w:eastAsia="ja-JP"/>
        </w:rPr>
        <w:t>.</w:t>
      </w:r>
    </w:p>
    <w:p w14:paraId="33373CB5" w14:textId="54FA2911" w:rsidR="00081F6C" w:rsidRPr="00107724" w:rsidRDefault="00347921" w:rsidP="00081F6C">
      <w:pPr>
        <w:jc w:val="both"/>
      </w:pPr>
      <w:r>
        <w:t>In R16, the maximum number of SRS resource sets is 16 per BWP, and UE maintains up to 4 PL RS for PUSCH/PUCCH/SRS per serving cell, except for positioning SRS.</w:t>
      </w:r>
      <w:r w:rsidR="00E20277">
        <w:t xml:space="preserve"> Therefore, multiple SRS resource sets may share the same PL RS. To save latency/</w:t>
      </w:r>
      <w:r w:rsidR="002529BE">
        <w:t>overhead</w:t>
      </w:r>
      <w:r w:rsidR="00E20277">
        <w:t>, the same activated PL RS can be applied to multiple SRS resource sets. The same saving has been considered in PL RS activation for PUSCH by MAC-CE, where the same activated PL RS can be applied to multiple SRIs.</w:t>
      </w:r>
    </w:p>
    <w:p w14:paraId="2038C433" w14:textId="4F2D3035" w:rsidR="00065736" w:rsidRDefault="00065736" w:rsidP="00065736">
      <w:pPr>
        <w:jc w:val="both"/>
        <w:rPr>
          <w:b/>
          <w:lang w:eastAsia="ja-JP"/>
        </w:rPr>
      </w:pPr>
      <w:r w:rsidRPr="002E629B">
        <w:rPr>
          <w:b/>
          <w:u w:val="single"/>
          <w:lang w:eastAsia="ja-JP"/>
        </w:rPr>
        <w:t xml:space="preserve">Proposal </w:t>
      </w:r>
      <w:r w:rsidR="00004F9E">
        <w:rPr>
          <w:b/>
          <w:u w:val="single"/>
          <w:lang w:eastAsia="ja-JP"/>
        </w:rPr>
        <w:t>5</w:t>
      </w:r>
      <w:r w:rsidRPr="002E629B">
        <w:rPr>
          <w:b/>
          <w:lang w:eastAsia="ja-JP"/>
        </w:rPr>
        <w:t xml:space="preserve">: </w:t>
      </w:r>
      <w:r>
        <w:rPr>
          <w:b/>
          <w:lang w:eastAsia="ja-JP"/>
        </w:rPr>
        <w:t>Support simultaneous pathloss RS activation for multiple SRS resource sets</w:t>
      </w:r>
      <w:r w:rsidR="00BA27E3">
        <w:rPr>
          <w:b/>
          <w:lang w:eastAsia="ja-JP"/>
        </w:rPr>
        <w:t>.</w:t>
      </w:r>
    </w:p>
    <w:p w14:paraId="2FC9084A" w14:textId="3C48B07A" w:rsidR="00632C76" w:rsidRDefault="00632C76" w:rsidP="00632C76">
      <w:pPr>
        <w:jc w:val="both"/>
      </w:pPr>
      <w:r>
        <w:t xml:space="preserve">In R16, default UL beam is introduced to save UL beam switch latency/overhead. The default beam for SRS </w:t>
      </w:r>
      <w:r w:rsidR="00943930">
        <w:t>or</w:t>
      </w:r>
      <w:r>
        <w:t xml:space="preserve"> PUCC</w:t>
      </w:r>
      <w:bookmarkStart w:id="10" w:name="_GoBack"/>
      <w:bookmarkEnd w:id="10"/>
      <w:r>
        <w:t xml:space="preserve">H without configured spatial relation will follow the beam of CORESET with lowest ID. It would be beneficial to extend this feature at least to multi-DCI based mTRP, where the default beam for SRS </w:t>
      </w:r>
      <w:r w:rsidR="00943930">
        <w:t>or</w:t>
      </w:r>
      <w:r>
        <w:t xml:space="preserve"> PUCCH </w:t>
      </w:r>
      <w:r w:rsidR="00865067">
        <w:t xml:space="preserve">will follow the beam of CORESET with lowest ID among the CORESETs with same </w:t>
      </w:r>
      <w:r w:rsidR="00865067" w:rsidRPr="00865067">
        <w:rPr>
          <w:i/>
          <w:iCs/>
        </w:rPr>
        <w:t>CORESETPoolIndex</w:t>
      </w:r>
      <w:r w:rsidR="00865067">
        <w:t xml:space="preserve"> as the one scheduling the SRS </w:t>
      </w:r>
      <w:r w:rsidR="00943930">
        <w:t>or</w:t>
      </w:r>
      <w:r w:rsidR="00865067">
        <w:t xml:space="preserve"> PUCCH. </w:t>
      </w:r>
    </w:p>
    <w:p w14:paraId="4E4FBEF2" w14:textId="25CA0D44" w:rsidR="00632C76" w:rsidRPr="002E629B" w:rsidRDefault="00632C76" w:rsidP="00632C76">
      <w:pPr>
        <w:jc w:val="both"/>
        <w:rPr>
          <w:b/>
          <w:lang w:eastAsia="ja-JP"/>
        </w:rPr>
      </w:pPr>
      <w:r w:rsidRPr="002E629B">
        <w:rPr>
          <w:b/>
          <w:u w:val="single"/>
          <w:lang w:eastAsia="ja-JP"/>
        </w:rPr>
        <w:t xml:space="preserve">Proposal </w:t>
      </w:r>
      <w:r w:rsidR="00004F9E">
        <w:rPr>
          <w:b/>
          <w:u w:val="single"/>
          <w:lang w:eastAsia="ja-JP"/>
        </w:rPr>
        <w:t>6</w:t>
      </w:r>
      <w:r w:rsidRPr="002E629B">
        <w:rPr>
          <w:b/>
          <w:lang w:eastAsia="ja-JP"/>
        </w:rPr>
        <w:t xml:space="preserve">: </w:t>
      </w:r>
      <w:r>
        <w:rPr>
          <w:b/>
          <w:lang w:eastAsia="ja-JP"/>
        </w:rPr>
        <w:t xml:space="preserve">Support </w:t>
      </w:r>
      <w:r w:rsidR="00865067">
        <w:rPr>
          <w:b/>
          <w:lang w:eastAsia="ja-JP"/>
        </w:rPr>
        <w:t>to extend default UL beam to mTRP scenario</w:t>
      </w:r>
      <w:r>
        <w:rPr>
          <w:b/>
          <w:lang w:eastAsia="ja-JP"/>
        </w:rPr>
        <w:t>.</w:t>
      </w:r>
    </w:p>
    <w:p w14:paraId="0D145478" w14:textId="5199AB0A" w:rsidR="00842021" w:rsidRPr="007A0368" w:rsidRDefault="00DF3D41" w:rsidP="00842021">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1" w:name="_Hlk20502450"/>
      <w:r>
        <w:rPr>
          <w:rFonts w:ascii="Arial" w:eastAsiaTheme="minorEastAsia" w:hAnsi="Arial" w:cs="Arial"/>
          <w:sz w:val="32"/>
          <w:szCs w:val="32"/>
          <w:lang w:eastAsia="zh-CN"/>
        </w:rPr>
        <w:t>Unified TCI Framework</w:t>
      </w:r>
    </w:p>
    <w:p w14:paraId="28BC721C" w14:textId="304BAF3E" w:rsidR="00F00607" w:rsidRDefault="00F00607" w:rsidP="00F00607">
      <w:pPr>
        <w:jc w:val="both"/>
      </w:pPr>
      <w:r w:rsidRPr="00F00607">
        <w:t xml:space="preserve">In R16, </w:t>
      </w:r>
      <w:r w:rsidR="007C2D92">
        <w:t xml:space="preserve">the </w:t>
      </w:r>
      <w:r w:rsidRPr="00F00607">
        <w:t xml:space="preserve">new PL RS is indicated by a MAC-CE separate from </w:t>
      </w:r>
      <w:r w:rsidR="00BC401A">
        <w:t xml:space="preserve">the </w:t>
      </w:r>
      <w:r w:rsidRPr="00F00607">
        <w:t>beam switch signalling for SP/AP SRS and PUSCH</w:t>
      </w:r>
      <w:r>
        <w:t xml:space="preserve">. </w:t>
      </w:r>
      <w:r w:rsidRPr="00F00607">
        <w:t>To save</w:t>
      </w:r>
      <w:r>
        <w:t xml:space="preserve"> </w:t>
      </w:r>
      <w:r w:rsidRPr="00F00607">
        <w:t>latency</w:t>
      </w:r>
      <w:r>
        <w:t>/</w:t>
      </w:r>
      <w:r w:rsidR="007C2D92">
        <w:t>overhead</w:t>
      </w:r>
      <w:r w:rsidRPr="00F00607">
        <w:t xml:space="preserve">, </w:t>
      </w:r>
      <w:r w:rsidR="007C2D92">
        <w:t>each</w:t>
      </w:r>
      <w:r>
        <w:t xml:space="preserve"> configured </w:t>
      </w:r>
      <w:r w:rsidRPr="00F00607">
        <w:t xml:space="preserve">UL TCI </w:t>
      </w:r>
      <w:r>
        <w:t xml:space="preserve">state </w:t>
      </w:r>
      <w:r w:rsidRPr="00F00607">
        <w:t xml:space="preserve">can </w:t>
      </w:r>
      <w:r>
        <w:t xml:space="preserve">contain both spatial RS and </w:t>
      </w:r>
      <w:r w:rsidR="00C71AD4">
        <w:t>PL</w:t>
      </w:r>
      <w:r>
        <w:t xml:space="preserve"> RS. Therefore, </w:t>
      </w:r>
      <w:r w:rsidR="00577B60">
        <w:t xml:space="preserve">through the indicated UL TCI state, </w:t>
      </w:r>
      <w:r>
        <w:t xml:space="preserve">UE </w:t>
      </w:r>
      <w:r w:rsidR="00577B60">
        <w:t xml:space="preserve">can </w:t>
      </w:r>
      <w:r>
        <w:t xml:space="preserve">know both UL beam and PL RS for the </w:t>
      </w:r>
      <w:r w:rsidR="00577B60">
        <w:t>corresponding</w:t>
      </w:r>
      <w:r>
        <w:t xml:space="preserve"> UL T</w:t>
      </w:r>
      <w:r w:rsidR="00577B60">
        <w:t>x</w:t>
      </w:r>
      <w:r>
        <w:t xml:space="preserve">. </w:t>
      </w:r>
    </w:p>
    <w:p w14:paraId="348C1E9F" w14:textId="59D00463" w:rsidR="004C76F3" w:rsidRDefault="004C76F3" w:rsidP="004C76F3">
      <w:pPr>
        <w:jc w:val="both"/>
        <w:rPr>
          <w:b/>
          <w:lang w:eastAsia="ja-JP"/>
        </w:rPr>
      </w:pPr>
      <w:r w:rsidRPr="002E629B">
        <w:rPr>
          <w:b/>
          <w:u w:val="single"/>
          <w:lang w:eastAsia="ja-JP"/>
        </w:rPr>
        <w:t xml:space="preserve">Proposal </w:t>
      </w:r>
      <w:r w:rsidR="0064271B">
        <w:rPr>
          <w:b/>
          <w:u w:val="single"/>
          <w:lang w:eastAsia="ja-JP"/>
        </w:rPr>
        <w:t>7</w:t>
      </w:r>
      <w:r w:rsidRPr="002E629B">
        <w:rPr>
          <w:b/>
          <w:lang w:eastAsia="ja-JP"/>
        </w:rPr>
        <w:t xml:space="preserve">: </w:t>
      </w:r>
      <w:r w:rsidR="00F00607">
        <w:rPr>
          <w:b/>
          <w:lang w:eastAsia="ja-JP"/>
        </w:rPr>
        <w:t xml:space="preserve">Configured </w:t>
      </w:r>
      <w:r>
        <w:rPr>
          <w:b/>
          <w:lang w:eastAsia="ja-JP"/>
        </w:rPr>
        <w:t>UL TCI state can indicate</w:t>
      </w:r>
      <w:r w:rsidR="00F00607">
        <w:rPr>
          <w:b/>
          <w:lang w:eastAsia="ja-JP"/>
        </w:rPr>
        <w:t xml:space="preserve"> both spatial RS and </w:t>
      </w:r>
      <w:r w:rsidR="00F00607" w:rsidRPr="001B2C91">
        <w:rPr>
          <w:b/>
          <w:lang w:eastAsia="ja-JP"/>
        </w:rPr>
        <w:t xml:space="preserve">PL </w:t>
      </w:r>
      <w:r w:rsidRPr="001B2C91">
        <w:rPr>
          <w:b/>
          <w:lang w:eastAsia="ja-JP"/>
        </w:rPr>
        <w:t>RS</w:t>
      </w:r>
      <w:r w:rsidR="002277FB">
        <w:rPr>
          <w:b/>
          <w:lang w:eastAsia="ja-JP"/>
        </w:rPr>
        <w:t>.</w:t>
      </w:r>
    </w:p>
    <w:p w14:paraId="10DFBC67" w14:textId="4807734A" w:rsidR="00316F62" w:rsidRDefault="00316F62" w:rsidP="004C76F3">
      <w:pPr>
        <w:jc w:val="both"/>
      </w:pPr>
      <w:r w:rsidRPr="00316F62">
        <w:t xml:space="preserve">In R15, </w:t>
      </w:r>
      <w:r w:rsidR="002A6202">
        <w:t xml:space="preserve">for CB/NCB based PUSCH, </w:t>
      </w:r>
      <w:r>
        <w:t xml:space="preserve">UE needs to transmit SRS before the </w:t>
      </w:r>
      <w:r w:rsidR="002A6202">
        <w:t xml:space="preserve">PUSCH scheduling </w:t>
      </w:r>
      <w:r>
        <w:t>DCI to determine the TPMI/TRI</w:t>
      </w:r>
      <w:r w:rsidR="00B00AD6">
        <w:t>/</w:t>
      </w:r>
      <w:r>
        <w:t>SRI. Without major change of legacy behaviour, SRS transmission prior to the</w:t>
      </w:r>
      <w:r w:rsidR="00145FF1">
        <w:t xml:space="preserve"> scheduling</w:t>
      </w:r>
      <w:r>
        <w:t xml:space="preserve"> DCI should be preserved, and the determined </w:t>
      </w:r>
      <w:r w:rsidR="009275DB">
        <w:t>TPMI/TRI/SRI</w:t>
      </w:r>
      <w:r>
        <w:t xml:space="preserve"> can be indicated in </w:t>
      </w:r>
      <w:r w:rsidR="006F0AFA">
        <w:t xml:space="preserve">or together with </w:t>
      </w:r>
      <w:r>
        <w:t>the UL TCI state in the scheduling DCI.</w:t>
      </w:r>
    </w:p>
    <w:p w14:paraId="50AB258C" w14:textId="27882102" w:rsidR="006B132F" w:rsidRDefault="006B132F" w:rsidP="006B132F">
      <w:pPr>
        <w:jc w:val="both"/>
        <w:rPr>
          <w:b/>
          <w:lang w:eastAsia="ja-JP"/>
        </w:rPr>
      </w:pPr>
      <w:r w:rsidRPr="002E629B">
        <w:rPr>
          <w:b/>
          <w:u w:val="single"/>
          <w:lang w:eastAsia="ja-JP"/>
        </w:rPr>
        <w:t xml:space="preserve">Proposal </w:t>
      </w:r>
      <w:r w:rsidR="0064271B">
        <w:rPr>
          <w:b/>
          <w:u w:val="single"/>
          <w:lang w:eastAsia="ja-JP"/>
        </w:rPr>
        <w:t>8</w:t>
      </w:r>
      <w:r w:rsidRPr="002E629B">
        <w:rPr>
          <w:b/>
          <w:lang w:eastAsia="ja-JP"/>
        </w:rPr>
        <w:t xml:space="preserve">: </w:t>
      </w:r>
      <w:r>
        <w:rPr>
          <w:b/>
          <w:lang w:eastAsia="ja-JP"/>
        </w:rPr>
        <w:t>For CB</w:t>
      </w:r>
      <w:r w:rsidR="002277FB">
        <w:rPr>
          <w:b/>
          <w:lang w:eastAsia="ja-JP"/>
        </w:rPr>
        <w:t>/NCB</w:t>
      </w:r>
      <w:r>
        <w:rPr>
          <w:b/>
          <w:lang w:eastAsia="ja-JP"/>
        </w:rPr>
        <w:t xml:space="preserve"> based PUSCH, </w:t>
      </w:r>
      <w:r w:rsidR="00CB4722">
        <w:rPr>
          <w:b/>
          <w:lang w:eastAsia="ja-JP"/>
        </w:rPr>
        <w:t xml:space="preserve">scheduling DCI </w:t>
      </w:r>
      <w:r>
        <w:rPr>
          <w:b/>
          <w:lang w:eastAsia="ja-JP"/>
        </w:rPr>
        <w:t xml:space="preserve">should indicate corresponding </w:t>
      </w:r>
      <w:r w:rsidR="009275DB">
        <w:rPr>
          <w:b/>
          <w:lang w:eastAsia="ja-JP"/>
        </w:rPr>
        <w:t>TPMI/TRI/</w:t>
      </w:r>
      <w:r>
        <w:rPr>
          <w:b/>
          <w:lang w:eastAsia="ja-JP"/>
        </w:rPr>
        <w:t>SRI</w:t>
      </w:r>
      <w:r w:rsidR="00584D80">
        <w:rPr>
          <w:b/>
          <w:lang w:eastAsia="ja-JP"/>
        </w:rPr>
        <w:t xml:space="preserve"> in or together with the UL TCI state</w:t>
      </w:r>
      <w:r w:rsidR="00316F62">
        <w:rPr>
          <w:b/>
          <w:lang w:eastAsia="ja-JP"/>
        </w:rPr>
        <w:t>.</w:t>
      </w:r>
    </w:p>
    <w:p w14:paraId="2CD602E6" w14:textId="5A0FBC4D" w:rsidR="006B132F" w:rsidRPr="00515D49" w:rsidRDefault="00515D49" w:rsidP="004C76F3">
      <w:pPr>
        <w:jc w:val="both"/>
      </w:pPr>
      <w:r w:rsidRPr="00515D49">
        <w:t>I</w:t>
      </w:r>
      <w:r>
        <w:t>n R15, MAC-CE can select spatial relation info for PUCCH and SP/AP SRS</w:t>
      </w:r>
      <w:r w:rsidR="00063D9E">
        <w:t xml:space="preserve"> resource</w:t>
      </w:r>
      <w:r>
        <w:t xml:space="preserve">. Similar mechanism can be extended to UL TCI state. In addition, MAC-CE can also be allowed to update UL TCI state for P SRS to save RRC reconfiguration latency. </w:t>
      </w:r>
    </w:p>
    <w:p w14:paraId="7B5D5A02" w14:textId="7B60F035" w:rsidR="004C76F3" w:rsidRDefault="004C76F3" w:rsidP="004C76F3">
      <w:pPr>
        <w:jc w:val="both"/>
        <w:rPr>
          <w:b/>
          <w:lang w:eastAsia="ja-JP"/>
        </w:rPr>
      </w:pPr>
      <w:r w:rsidRPr="002E629B">
        <w:rPr>
          <w:b/>
          <w:u w:val="single"/>
          <w:lang w:eastAsia="ja-JP"/>
        </w:rPr>
        <w:t xml:space="preserve">Proposal </w:t>
      </w:r>
      <w:r w:rsidR="0064271B">
        <w:rPr>
          <w:b/>
          <w:u w:val="single"/>
          <w:lang w:eastAsia="ja-JP"/>
        </w:rPr>
        <w:t>9</w:t>
      </w:r>
      <w:r w:rsidRPr="002E629B">
        <w:rPr>
          <w:b/>
          <w:lang w:eastAsia="ja-JP"/>
        </w:rPr>
        <w:t xml:space="preserve">: </w:t>
      </w:r>
      <w:r>
        <w:rPr>
          <w:b/>
          <w:lang w:eastAsia="ja-JP"/>
        </w:rPr>
        <w:t xml:space="preserve">MAC-CE can </w:t>
      </w:r>
      <w:r w:rsidR="001D43B3">
        <w:rPr>
          <w:b/>
          <w:lang w:eastAsia="ja-JP"/>
        </w:rPr>
        <w:t>select/</w:t>
      </w:r>
      <w:r w:rsidR="00F5435D">
        <w:rPr>
          <w:b/>
          <w:lang w:eastAsia="ja-JP"/>
        </w:rPr>
        <w:t>activate</w:t>
      </w:r>
      <w:r>
        <w:rPr>
          <w:b/>
          <w:lang w:eastAsia="ja-JP"/>
        </w:rPr>
        <w:t xml:space="preserve"> UL TCI state for PUCCH and </w:t>
      </w:r>
      <w:r w:rsidR="00515D49">
        <w:rPr>
          <w:b/>
          <w:lang w:eastAsia="ja-JP"/>
        </w:rPr>
        <w:t xml:space="preserve">P/SP/AP </w:t>
      </w:r>
      <w:r>
        <w:rPr>
          <w:b/>
          <w:lang w:eastAsia="ja-JP"/>
        </w:rPr>
        <w:t>SRS</w:t>
      </w:r>
      <w:r w:rsidR="00F5435D">
        <w:rPr>
          <w:b/>
          <w:lang w:eastAsia="ja-JP"/>
        </w:rPr>
        <w:t xml:space="preserve"> resource</w:t>
      </w:r>
      <w:r w:rsidR="006F0AFA">
        <w:rPr>
          <w:b/>
          <w:lang w:eastAsia="ja-JP"/>
        </w:rPr>
        <w:t>.</w:t>
      </w:r>
    </w:p>
    <w:p w14:paraId="3EA0BFC2" w14:textId="289F7DD1" w:rsidR="006F0AFA" w:rsidRDefault="006F0AFA" w:rsidP="006F0AFA">
      <w:pPr>
        <w:jc w:val="both"/>
      </w:pPr>
      <w:r w:rsidRPr="00515D49">
        <w:t>I</w:t>
      </w:r>
      <w:r>
        <w:t>n R15, the DCI scheduling PDSCH will indicate corresponding TCI codepoint activated by MAC-CE. Similar mechanism can be extended to UL TCI state. MAC-CE can activate a subset of configured UL TCI states, and the scheduling DCI can further indicate corresponding UL TCI codepoint</w:t>
      </w:r>
      <w:r w:rsidR="00D15418">
        <w:t xml:space="preserve"> </w:t>
      </w:r>
      <w:r>
        <w:t xml:space="preserve">to save </w:t>
      </w:r>
      <w:r w:rsidR="00D15418">
        <w:t>DCI overhead</w:t>
      </w:r>
      <w:r>
        <w:t xml:space="preserve">. </w:t>
      </w:r>
    </w:p>
    <w:p w14:paraId="4752F33D" w14:textId="70047704" w:rsidR="004C76F3" w:rsidRPr="00E32A91" w:rsidRDefault="004C76F3" w:rsidP="004C76F3">
      <w:pPr>
        <w:jc w:val="both"/>
        <w:rPr>
          <w:b/>
          <w:lang w:eastAsia="ja-JP"/>
        </w:rPr>
      </w:pPr>
      <w:r w:rsidRPr="002E629B">
        <w:rPr>
          <w:b/>
          <w:u w:val="single"/>
          <w:lang w:eastAsia="ja-JP"/>
        </w:rPr>
        <w:t xml:space="preserve">Proposal </w:t>
      </w:r>
      <w:r w:rsidR="0064271B">
        <w:rPr>
          <w:b/>
          <w:u w:val="single"/>
          <w:lang w:eastAsia="ja-JP"/>
        </w:rPr>
        <w:t>10</w:t>
      </w:r>
      <w:r w:rsidRPr="002E629B">
        <w:rPr>
          <w:b/>
          <w:lang w:eastAsia="ja-JP"/>
        </w:rPr>
        <w:t xml:space="preserve">: </w:t>
      </w:r>
      <w:r w:rsidR="0031072A">
        <w:rPr>
          <w:b/>
          <w:lang w:eastAsia="ja-JP"/>
        </w:rPr>
        <w:t xml:space="preserve">For PUSCH scheduled by DCI, </w:t>
      </w:r>
      <w:r w:rsidR="006F0AFA" w:rsidRPr="006F0AFA">
        <w:rPr>
          <w:b/>
          <w:lang w:eastAsia="ja-JP"/>
        </w:rPr>
        <w:t>MAC-CE can activate a subset of configured UL TCI states, and the scheduling DCI can indicate corresponding UL TCI codepoint</w:t>
      </w:r>
      <w:r w:rsidR="007B528B">
        <w:rPr>
          <w:b/>
          <w:lang w:eastAsia="ja-JP"/>
        </w:rPr>
        <w:t>.</w:t>
      </w:r>
    </w:p>
    <w:p w14:paraId="4246A4F4" w14:textId="7EB75B91" w:rsidR="00584D80" w:rsidRPr="00584D80" w:rsidRDefault="00584D80" w:rsidP="00584D80">
      <w:pPr>
        <w:jc w:val="both"/>
      </w:pPr>
      <w:r w:rsidRPr="00584D80">
        <w:t>In R</w:t>
      </w:r>
      <w:r w:rsidR="00DE295B">
        <w:t>16</w:t>
      </w:r>
      <w:r w:rsidRPr="00584D80">
        <w:t xml:space="preserve">, </w:t>
      </w:r>
      <w:r w:rsidR="00DE295B">
        <w:t>to save UL beam switch latency/</w:t>
      </w:r>
      <w:r w:rsidR="00B06848">
        <w:t>overhead</w:t>
      </w:r>
      <w:r w:rsidR="00DE295B">
        <w:t xml:space="preserve">, </w:t>
      </w:r>
      <w:r w:rsidRPr="00584D80">
        <w:t>default UL beam ha</w:t>
      </w:r>
      <w:r w:rsidR="00DE295B">
        <w:t xml:space="preserve">s </w:t>
      </w:r>
      <w:r w:rsidRPr="00584D80">
        <w:t xml:space="preserve">been introduced when spatial relation is not configured.  </w:t>
      </w:r>
      <w:r w:rsidR="00DF0E72">
        <w:t>The same default UL beam rule can be applied to UL transmissions without indicated</w:t>
      </w:r>
      <w:r w:rsidRPr="00584D80">
        <w:t xml:space="preserve"> UL TCI state</w:t>
      </w:r>
      <w:r w:rsidR="00DF0E72">
        <w:t>.</w:t>
      </w:r>
    </w:p>
    <w:p w14:paraId="2B32F3FE" w14:textId="4EBB96F8" w:rsidR="00584D80" w:rsidRPr="00584D80" w:rsidRDefault="00584D80" w:rsidP="00584D80">
      <w:pPr>
        <w:jc w:val="both"/>
        <w:rPr>
          <w:b/>
          <w:lang w:eastAsia="ja-JP"/>
        </w:rPr>
      </w:pPr>
      <w:r w:rsidRPr="00584D80">
        <w:rPr>
          <w:b/>
          <w:u w:val="single"/>
          <w:lang w:eastAsia="ja-JP"/>
        </w:rPr>
        <w:t xml:space="preserve">Proposal </w:t>
      </w:r>
      <w:r w:rsidR="0064271B">
        <w:rPr>
          <w:b/>
          <w:u w:val="single"/>
          <w:lang w:eastAsia="ja-JP"/>
        </w:rPr>
        <w:t>11</w:t>
      </w:r>
      <w:r w:rsidRPr="00584D80">
        <w:rPr>
          <w:b/>
          <w:lang w:eastAsia="ja-JP"/>
        </w:rPr>
        <w:t>: Default UL beam</w:t>
      </w:r>
      <w:r w:rsidR="00DE295B">
        <w:rPr>
          <w:b/>
          <w:lang w:eastAsia="ja-JP"/>
        </w:rPr>
        <w:t xml:space="preserve"> </w:t>
      </w:r>
      <w:r w:rsidRPr="00584D80">
        <w:rPr>
          <w:b/>
          <w:lang w:eastAsia="ja-JP"/>
        </w:rPr>
        <w:t>defined when spatial relation is not configured can be reused for the case when UL TCI is not indicated</w:t>
      </w:r>
      <w:r w:rsidR="00DE295B">
        <w:rPr>
          <w:b/>
          <w:lang w:eastAsia="ja-JP"/>
        </w:rPr>
        <w:t>.</w:t>
      </w:r>
    </w:p>
    <w:p w14:paraId="325627C0" w14:textId="7CE31836" w:rsidR="00584D80" w:rsidRPr="002E629B" w:rsidRDefault="00584D80" w:rsidP="00A76C88">
      <w:pPr>
        <w:jc w:val="both"/>
      </w:pPr>
      <w:r>
        <w:lastRenderedPageBreak/>
        <w:t xml:space="preserve">For UE supporting UL TCI state, gNB should only enable either UL TCI state or spatial relation for </w:t>
      </w:r>
      <w:r w:rsidR="00597811">
        <w:t xml:space="preserve">the </w:t>
      </w:r>
      <w:r>
        <w:t xml:space="preserve">UL beam indication. This will reduce signalling complexity </w:t>
      </w:r>
      <w:r w:rsidR="00146A81">
        <w:t>as well as</w:t>
      </w:r>
      <w:r>
        <w:t xml:space="preserve"> UE </w:t>
      </w:r>
      <w:r w:rsidR="00146A81">
        <w:t xml:space="preserve">memory to store both </w:t>
      </w:r>
      <w:r>
        <w:t xml:space="preserve">configured UL TCI states and spatial relations. </w:t>
      </w:r>
    </w:p>
    <w:p w14:paraId="14F1CFCB" w14:textId="07A7E24F" w:rsidR="00A76C88" w:rsidRPr="00E32A91" w:rsidRDefault="00A76C88" w:rsidP="00A76C88">
      <w:pPr>
        <w:jc w:val="both"/>
        <w:rPr>
          <w:b/>
          <w:lang w:eastAsia="ja-JP"/>
        </w:rPr>
      </w:pPr>
      <w:r w:rsidRPr="002E629B">
        <w:rPr>
          <w:b/>
          <w:u w:val="single"/>
          <w:lang w:eastAsia="ja-JP"/>
        </w:rPr>
        <w:t xml:space="preserve">Proposal </w:t>
      </w:r>
      <w:r w:rsidR="0064271B">
        <w:rPr>
          <w:b/>
          <w:u w:val="single"/>
          <w:lang w:eastAsia="ja-JP"/>
        </w:rPr>
        <w:t>12</w:t>
      </w:r>
      <w:r w:rsidRPr="002E629B">
        <w:rPr>
          <w:b/>
          <w:lang w:eastAsia="ja-JP"/>
        </w:rPr>
        <w:t>:</w:t>
      </w:r>
      <w:r>
        <w:rPr>
          <w:b/>
          <w:lang w:eastAsia="ja-JP"/>
        </w:rPr>
        <w:t xml:space="preserve"> gNB should enable either UL TCI state or spatial relation for UL beam indication</w:t>
      </w:r>
      <w:r w:rsidR="00063385">
        <w:rPr>
          <w:b/>
          <w:lang w:eastAsia="ja-JP"/>
        </w:rPr>
        <w:t>.</w:t>
      </w:r>
    </w:p>
    <w:p w14:paraId="7AA7687F" w14:textId="3C06E1D4" w:rsidR="00464801" w:rsidRPr="00DA4FF4" w:rsidRDefault="00AF13F7" w:rsidP="00DA4FF4">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AF13F7">
        <w:rPr>
          <w:rFonts w:ascii="Arial" w:eastAsiaTheme="minorEastAsia" w:hAnsi="Arial" w:cs="Arial"/>
          <w:sz w:val="32"/>
          <w:szCs w:val="32"/>
          <w:lang w:eastAsia="zh-CN"/>
        </w:rPr>
        <w:t>L1/L2-</w:t>
      </w:r>
      <w:r>
        <w:rPr>
          <w:rFonts w:ascii="Arial" w:eastAsiaTheme="minorEastAsia" w:hAnsi="Arial" w:cs="Arial"/>
          <w:sz w:val="32"/>
          <w:szCs w:val="32"/>
          <w:lang w:eastAsia="zh-CN"/>
        </w:rPr>
        <w:t>C</w:t>
      </w:r>
      <w:r w:rsidRPr="00AF13F7">
        <w:rPr>
          <w:rFonts w:ascii="Arial" w:eastAsiaTheme="minorEastAsia" w:hAnsi="Arial" w:cs="Arial"/>
          <w:sz w:val="32"/>
          <w:szCs w:val="32"/>
          <w:lang w:eastAsia="zh-CN"/>
        </w:rPr>
        <w:t xml:space="preserve">entric </w:t>
      </w:r>
      <w:r w:rsidR="0022612F">
        <w:rPr>
          <w:rFonts w:ascii="Arial" w:eastAsiaTheme="minorEastAsia" w:hAnsi="Arial" w:cs="Arial"/>
          <w:sz w:val="32"/>
          <w:szCs w:val="32"/>
          <w:lang w:eastAsia="zh-CN"/>
        </w:rPr>
        <w:t xml:space="preserve">Intra- and </w:t>
      </w:r>
      <w:r>
        <w:rPr>
          <w:rFonts w:ascii="Arial" w:eastAsiaTheme="minorEastAsia" w:hAnsi="Arial" w:cs="Arial"/>
          <w:sz w:val="32"/>
          <w:szCs w:val="32"/>
          <w:lang w:eastAsia="zh-CN"/>
        </w:rPr>
        <w:t>I</w:t>
      </w:r>
      <w:r w:rsidRPr="00AF13F7">
        <w:rPr>
          <w:rFonts w:ascii="Arial" w:eastAsiaTheme="minorEastAsia" w:hAnsi="Arial" w:cs="Arial"/>
          <w:sz w:val="32"/>
          <w:szCs w:val="32"/>
          <w:lang w:eastAsia="zh-CN"/>
        </w:rPr>
        <w:t>nter-</w:t>
      </w:r>
      <w:r>
        <w:rPr>
          <w:rFonts w:ascii="Arial" w:eastAsiaTheme="minorEastAsia" w:hAnsi="Arial" w:cs="Arial"/>
          <w:sz w:val="32"/>
          <w:szCs w:val="32"/>
          <w:lang w:eastAsia="zh-CN"/>
        </w:rPr>
        <w:t>C</w:t>
      </w:r>
      <w:r w:rsidRPr="00AF13F7">
        <w:rPr>
          <w:rFonts w:ascii="Arial" w:eastAsiaTheme="minorEastAsia" w:hAnsi="Arial" w:cs="Arial"/>
          <w:sz w:val="32"/>
          <w:szCs w:val="32"/>
          <w:lang w:eastAsia="zh-CN"/>
        </w:rPr>
        <w:t xml:space="preserve">ell </w:t>
      </w:r>
      <w:r>
        <w:rPr>
          <w:rFonts w:ascii="Arial" w:eastAsiaTheme="minorEastAsia" w:hAnsi="Arial" w:cs="Arial"/>
          <w:sz w:val="32"/>
          <w:szCs w:val="32"/>
          <w:lang w:eastAsia="zh-CN"/>
        </w:rPr>
        <w:t>M</w:t>
      </w:r>
      <w:r w:rsidRPr="00AF13F7">
        <w:rPr>
          <w:rFonts w:ascii="Arial" w:eastAsiaTheme="minorEastAsia" w:hAnsi="Arial" w:cs="Arial"/>
          <w:sz w:val="32"/>
          <w:szCs w:val="32"/>
          <w:lang w:eastAsia="zh-CN"/>
        </w:rPr>
        <w:t>obility</w:t>
      </w:r>
    </w:p>
    <w:p w14:paraId="165DDED1" w14:textId="0C85039D" w:rsidR="00547D64" w:rsidRDefault="00DA20E7" w:rsidP="005C1D6C">
      <w:pPr>
        <w:jc w:val="both"/>
      </w:pPr>
      <w:r>
        <w:t>For</w:t>
      </w:r>
      <w:r w:rsidR="00DA4FF4">
        <w:t xml:space="preserve"> </w:t>
      </w:r>
      <w:r w:rsidRPr="00DA20E7">
        <w:t>L1/L2 based intra-cell mobility</w:t>
      </w:r>
      <w:r>
        <w:t xml:space="preserve">, </w:t>
      </w:r>
      <w:r w:rsidRPr="00DA20E7">
        <w:t xml:space="preserve">TRPs are in </w:t>
      </w:r>
      <w:r>
        <w:t xml:space="preserve">the </w:t>
      </w:r>
      <w:r w:rsidRPr="00DA20E7">
        <w:t>same serving cell and share same PCI and SSB ID space</w:t>
      </w:r>
      <w:r w:rsidR="00967194">
        <w:t>, e.g. total SSB</w:t>
      </w:r>
      <w:r w:rsidR="00AF6471">
        <w:t>s are</w:t>
      </w:r>
      <w:r w:rsidR="00967194">
        <w:t xml:space="preserve"> split among TRPs in the same serving cell. </w:t>
      </w:r>
      <w:r w:rsidR="005C1D6C">
        <w:t xml:space="preserve">In </w:t>
      </w:r>
      <w:r w:rsidR="005C1D6C" w:rsidRPr="005C1D6C">
        <w:t>R16</w:t>
      </w:r>
      <w:r w:rsidR="005C1D6C">
        <w:t>, each serving cell belongs to a s</w:t>
      </w:r>
      <w:r w:rsidR="005C1D6C" w:rsidRPr="005C1D6C">
        <w:t>ingle TAG</w:t>
      </w:r>
      <w:r w:rsidR="005C1D6C">
        <w:t xml:space="preserve">. However, for the intra-cell mobility in R17, TRPs </w:t>
      </w:r>
      <w:r w:rsidR="000720B3">
        <w:t xml:space="preserve">in the same serving cell </w:t>
      </w:r>
      <w:r w:rsidR="005C1D6C">
        <w:t xml:space="preserve">can be widely separated with different propagation delays to the UE. </w:t>
      </w:r>
      <w:r w:rsidR="005C1D6C" w:rsidRPr="005C1D6C">
        <w:t xml:space="preserve">When UE switches </w:t>
      </w:r>
      <w:r w:rsidR="00180AD0">
        <w:t xml:space="preserve">the </w:t>
      </w:r>
      <w:r w:rsidR="005C1D6C" w:rsidRPr="005C1D6C">
        <w:t>TRP, gNB may have to trigger PDCCH order for TA update</w:t>
      </w:r>
      <w:r w:rsidR="005C1D6C">
        <w:t xml:space="preserve"> on the new TRP. </w:t>
      </w:r>
      <w:r w:rsidR="005C1D6C" w:rsidRPr="005C1D6C">
        <w:t>This may increase TRP switching latency and overhead</w:t>
      </w:r>
      <w:r w:rsidR="005C1D6C">
        <w:t>.</w:t>
      </w:r>
    </w:p>
    <w:p w14:paraId="65E0AA4C" w14:textId="77777777" w:rsidR="0004701C" w:rsidRDefault="0004701C" w:rsidP="0004701C">
      <w:pPr>
        <w:jc w:val="center"/>
        <w:rPr>
          <w:lang w:val="en-US"/>
        </w:rPr>
      </w:pPr>
      <w:r w:rsidRPr="0042497F">
        <w:rPr>
          <w:lang w:val="en-US"/>
        </w:rPr>
        <w:object w:dxaOrig="7695" w:dyaOrig="3420" w14:anchorId="255C6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5pt;height:170.95pt" o:ole="">
            <v:imagedata r:id="rId14" o:title=""/>
          </v:shape>
          <o:OLEObject Type="Embed" ProgID="Visio.Drawing.11" ShapeID="_x0000_i1025" DrawAspect="Content" ObjectID="_1658324435" r:id="rId15"/>
        </w:object>
      </w:r>
    </w:p>
    <w:p w14:paraId="76F222A9" w14:textId="0360F2B0" w:rsidR="0004701C" w:rsidRDefault="0004701C" w:rsidP="0004701C">
      <w:pPr>
        <w:spacing w:after="200"/>
        <w:jc w:val="center"/>
        <w:rPr>
          <w:b/>
          <w:iCs/>
          <w:szCs w:val="22"/>
        </w:rPr>
      </w:pPr>
      <w:r w:rsidRPr="00723189">
        <w:rPr>
          <w:b/>
          <w:iCs/>
          <w:szCs w:val="22"/>
        </w:rPr>
        <w:t>Figure</w:t>
      </w:r>
      <w:r>
        <w:rPr>
          <w:b/>
          <w:iCs/>
          <w:szCs w:val="22"/>
        </w:rPr>
        <w:t xml:space="preserve"> 2</w:t>
      </w:r>
      <w:r w:rsidRPr="00723189">
        <w:rPr>
          <w:b/>
          <w:iCs/>
          <w:szCs w:val="22"/>
        </w:rPr>
        <w:t xml:space="preserve">: </w:t>
      </w:r>
      <w:r>
        <w:rPr>
          <w:b/>
          <w:iCs/>
          <w:szCs w:val="22"/>
        </w:rPr>
        <w:t>Multiple TAGs per Serving Cell in Intra-Cell Mobility</w:t>
      </w:r>
    </w:p>
    <w:p w14:paraId="394B0C53" w14:textId="77777777" w:rsidR="00E51E3B" w:rsidRDefault="00E51E3B" w:rsidP="0004701C">
      <w:pPr>
        <w:spacing w:after="200"/>
        <w:jc w:val="center"/>
        <w:rPr>
          <w:b/>
          <w:iCs/>
          <w:szCs w:val="22"/>
        </w:rPr>
      </w:pPr>
    </w:p>
    <w:p w14:paraId="60F52929" w14:textId="77777777" w:rsidR="0004701C" w:rsidRDefault="0004701C" w:rsidP="0004701C">
      <w:pPr>
        <w:jc w:val="center"/>
        <w:rPr>
          <w:lang w:val="en-US"/>
        </w:rPr>
      </w:pPr>
      <w:r w:rsidRPr="00E03BC0">
        <w:rPr>
          <w:lang w:val="en-US"/>
        </w:rPr>
        <w:object w:dxaOrig="5716" w:dyaOrig="3466" w14:anchorId="62513899">
          <v:shape id="_x0000_i1026" type="#_x0000_t75" style="width:249.5pt;height:151.3pt" o:ole="">
            <v:imagedata r:id="rId16" o:title=""/>
          </v:shape>
          <o:OLEObject Type="Embed" ProgID="Visio.Drawing.11" ShapeID="_x0000_i1026" DrawAspect="Content" ObjectID="_1658324436" r:id="rId17"/>
        </w:object>
      </w:r>
    </w:p>
    <w:p w14:paraId="3838F318" w14:textId="77777777" w:rsidR="0004701C" w:rsidRDefault="0004701C" w:rsidP="0004701C">
      <w:pPr>
        <w:spacing w:after="200"/>
        <w:jc w:val="center"/>
        <w:rPr>
          <w:b/>
          <w:iCs/>
          <w:szCs w:val="22"/>
        </w:rPr>
      </w:pPr>
      <w:r w:rsidRPr="00723189">
        <w:rPr>
          <w:b/>
          <w:iCs/>
          <w:szCs w:val="22"/>
        </w:rPr>
        <w:t>Figure</w:t>
      </w:r>
      <w:r>
        <w:rPr>
          <w:b/>
          <w:iCs/>
          <w:szCs w:val="22"/>
        </w:rPr>
        <w:t xml:space="preserve"> 3</w:t>
      </w:r>
      <w:r w:rsidRPr="00723189">
        <w:rPr>
          <w:b/>
          <w:iCs/>
          <w:szCs w:val="22"/>
        </w:rPr>
        <w:t xml:space="preserve">: </w:t>
      </w:r>
      <w:r>
        <w:rPr>
          <w:b/>
          <w:iCs/>
          <w:szCs w:val="22"/>
        </w:rPr>
        <w:t>TCI State with QCL Source as SSB from Non-Serving PCI</w:t>
      </w:r>
    </w:p>
    <w:p w14:paraId="50E5CB93" w14:textId="7BA07399" w:rsidR="009A2DEF" w:rsidRPr="009A2DEF" w:rsidRDefault="00980258" w:rsidP="009A2DEF">
      <w:pPr>
        <w:jc w:val="both"/>
      </w:pPr>
      <w:r>
        <w:t xml:space="preserve">To improve intra-cell TRP switching latency, each serving cell can have more than one TAG. </w:t>
      </w:r>
      <w:r w:rsidR="006779C1">
        <w:t>For example, the</w:t>
      </w:r>
      <w:r w:rsidRPr="00980258">
        <w:t xml:space="preserve"> subset of SSBs </w:t>
      </w:r>
      <w:r w:rsidR="006779C1">
        <w:t>transmitted by each TRP can be</w:t>
      </w:r>
      <w:r w:rsidRPr="00980258">
        <w:t xml:space="preserve"> associated with one TAG with corresponding TA </w:t>
      </w:r>
      <w:r w:rsidR="00560FEC">
        <w:t>continuously</w:t>
      </w:r>
      <w:r w:rsidRPr="00980258">
        <w:t xml:space="preserve"> updated by PDCCH order</w:t>
      </w:r>
      <w:r w:rsidR="006779C1">
        <w:t xml:space="preserve">. </w:t>
      </w:r>
      <w:r w:rsidRPr="00980258">
        <w:t>If UE is switched to the beams QCLed with SSB(s) in a new TAG, UE will directly apply the corresponding TA updated by PDCCH order before the beam switch</w:t>
      </w:r>
      <w:r w:rsidR="006779C1">
        <w:t>.</w:t>
      </w:r>
      <w:r w:rsidR="00560FEC">
        <w:t xml:space="preserve"> </w:t>
      </w:r>
      <w:r w:rsidR="005B2EDE">
        <w:t>This is illustrated in</w:t>
      </w:r>
      <w:r w:rsidR="00704C19">
        <w:t xml:space="preserve"> Figure 2</w:t>
      </w:r>
      <w:r w:rsidR="005B2EDE">
        <w:t xml:space="preserve">, where UE switches from SSB 4 on TRP 1 to SSB 6 on TRP 2, and UE directly applies the latest TA for TRP 2 </w:t>
      </w:r>
      <w:r w:rsidR="007501D4">
        <w:t xml:space="preserve">updated </w:t>
      </w:r>
      <w:r w:rsidR="005B2EDE">
        <w:t xml:space="preserve">before the beam switch. In this way, </w:t>
      </w:r>
      <w:r w:rsidR="007501D4">
        <w:t>impact on</w:t>
      </w:r>
      <w:r w:rsidR="005B2EDE">
        <w:t xml:space="preserve"> traffic latency can be</w:t>
      </w:r>
      <w:r w:rsidR="007501D4">
        <w:t xml:space="preserve"> reduced</w:t>
      </w:r>
      <w:r w:rsidR="005B2EDE">
        <w:t>.</w:t>
      </w:r>
      <w:r w:rsidR="009A2DEF">
        <w:t xml:space="preserve"> </w:t>
      </w:r>
      <w:r w:rsidR="009A2DEF" w:rsidRPr="009A2DEF">
        <w:t>Therefore, we have the following proposal</w:t>
      </w:r>
      <w:r w:rsidR="00976304">
        <w:t>:</w:t>
      </w:r>
    </w:p>
    <w:p w14:paraId="1ABFA5A4" w14:textId="106D36D5" w:rsidR="009A2DEF" w:rsidRPr="009A2DEF" w:rsidRDefault="009A2DEF" w:rsidP="009A2DEF">
      <w:pPr>
        <w:jc w:val="both"/>
        <w:rPr>
          <w:b/>
          <w:lang w:eastAsia="ja-JP"/>
        </w:rPr>
      </w:pPr>
      <w:r w:rsidRPr="009A2DEF">
        <w:rPr>
          <w:b/>
          <w:u w:val="single"/>
          <w:lang w:eastAsia="ja-JP"/>
        </w:rPr>
        <w:lastRenderedPageBreak/>
        <w:t xml:space="preserve">Proposal </w:t>
      </w:r>
      <w:r w:rsidR="004A4A3F">
        <w:rPr>
          <w:b/>
          <w:u w:val="single"/>
          <w:lang w:eastAsia="ja-JP"/>
        </w:rPr>
        <w:t>13</w:t>
      </w:r>
      <w:r w:rsidRPr="009A2DEF">
        <w:rPr>
          <w:b/>
          <w:lang w:eastAsia="ja-JP"/>
        </w:rPr>
        <w:t>: For L1/L2 intra-cell mobility, support multiple TAGs per serving cell</w:t>
      </w:r>
      <w:r w:rsidR="00680381">
        <w:rPr>
          <w:b/>
          <w:lang w:eastAsia="ja-JP"/>
        </w:rPr>
        <w:t>.</w:t>
      </w:r>
    </w:p>
    <w:p w14:paraId="454232E2" w14:textId="3CC2B7F0" w:rsidR="009A2DEF" w:rsidRDefault="009A2DEF" w:rsidP="009A2DEF">
      <w:pPr>
        <w:numPr>
          <w:ilvl w:val="0"/>
          <w:numId w:val="13"/>
        </w:numPr>
        <w:tabs>
          <w:tab w:val="num" w:pos="720"/>
        </w:tabs>
        <w:spacing w:after="0"/>
        <w:rPr>
          <w:rFonts w:eastAsia="PMingLiU"/>
          <w:b/>
          <w:bCs/>
          <w:color w:val="000000"/>
          <w:lang w:val="en-US" w:eastAsia="zh-CN"/>
        </w:rPr>
      </w:pPr>
      <w:r w:rsidRPr="009A2DEF">
        <w:rPr>
          <w:rFonts w:eastAsia="PMingLiU"/>
          <w:b/>
          <w:bCs/>
          <w:color w:val="000000"/>
          <w:lang w:val="en-US" w:eastAsia="zh-CN"/>
        </w:rPr>
        <w:t xml:space="preserve">Each TAG can correspond to one or more TRPs </w:t>
      </w:r>
      <w:r w:rsidR="00887849">
        <w:rPr>
          <w:rFonts w:eastAsia="PMingLiU"/>
          <w:b/>
          <w:bCs/>
          <w:color w:val="000000"/>
          <w:lang w:val="en-US" w:eastAsia="zh-CN"/>
        </w:rPr>
        <w:t>with similar propagation delay to the UE</w:t>
      </w:r>
      <w:r w:rsidR="00F21874">
        <w:rPr>
          <w:rFonts w:eastAsia="PMingLiU"/>
          <w:b/>
          <w:bCs/>
          <w:color w:val="000000"/>
          <w:lang w:val="en-US" w:eastAsia="zh-CN"/>
        </w:rPr>
        <w:t>.</w:t>
      </w:r>
    </w:p>
    <w:p w14:paraId="591A57AB" w14:textId="77777777" w:rsidR="002A032D" w:rsidRPr="00DF2871" w:rsidRDefault="002A032D" w:rsidP="000D68A7">
      <w:pPr>
        <w:jc w:val="both"/>
        <w:rPr>
          <w:sz w:val="16"/>
          <w:szCs w:val="16"/>
        </w:rPr>
      </w:pPr>
    </w:p>
    <w:p w14:paraId="03B00CEF" w14:textId="5C01396C" w:rsidR="000D68A7" w:rsidRDefault="00AB4F65" w:rsidP="000D68A7">
      <w:pPr>
        <w:jc w:val="both"/>
      </w:pPr>
      <w:r>
        <w:t>In inter-cell mobility, e</w:t>
      </w:r>
      <w:r w:rsidR="000D68A7" w:rsidRPr="000D68A7">
        <w:t xml:space="preserve">ach serving cell </w:t>
      </w:r>
      <w:r>
        <w:t xml:space="preserve">can </w:t>
      </w:r>
      <w:r w:rsidR="000D68A7" w:rsidRPr="000D68A7">
        <w:t>ha</w:t>
      </w:r>
      <w:r>
        <w:t>ve</w:t>
      </w:r>
      <w:r w:rsidR="000D68A7" w:rsidRPr="000D68A7">
        <w:t xml:space="preserve"> single or multiple TRPs sharing same PCI</w:t>
      </w:r>
      <w:r>
        <w:t xml:space="preserve">, which is unique per serving cell as in R16. </w:t>
      </w:r>
      <w:r w:rsidR="000C7DE5">
        <w:t xml:space="preserve">To facilitate fast beam switching across different cells, </w:t>
      </w:r>
      <w:r w:rsidR="000C7DE5" w:rsidRPr="000C7DE5">
        <w:t xml:space="preserve">TCI state of </w:t>
      </w:r>
      <w:r w:rsidR="00DC1146">
        <w:t>a</w:t>
      </w:r>
      <w:r w:rsidR="000C7DE5" w:rsidRPr="000C7DE5">
        <w:t xml:space="preserve"> serving cell can be QCLed with SSB </w:t>
      </w:r>
      <w:r w:rsidR="000C7DE5">
        <w:t xml:space="preserve">from </w:t>
      </w:r>
      <w:r w:rsidR="000C7DE5" w:rsidRPr="000C7DE5">
        <w:t>a neighbour non-serving cell</w:t>
      </w:r>
      <w:r w:rsidR="000C7DE5">
        <w:t xml:space="preserve">, in addition to </w:t>
      </w:r>
      <w:r w:rsidR="00DC1146">
        <w:t xml:space="preserve">SSB </w:t>
      </w:r>
      <w:r w:rsidR="000C7DE5">
        <w:t>from th</w:t>
      </w:r>
      <w:r w:rsidR="00A9528E">
        <w:t>e</w:t>
      </w:r>
      <w:r w:rsidR="00DC1146">
        <w:t xml:space="preserve"> </w:t>
      </w:r>
      <w:r w:rsidR="000C7DE5">
        <w:t xml:space="preserve">serving cell. </w:t>
      </w:r>
      <w:r w:rsidR="00B407D3">
        <w:t>The SSB from n</w:t>
      </w:r>
      <w:r w:rsidR="00BB68EE" w:rsidRPr="00BB68EE">
        <w:t>eighbour non-serving cell is only for beam indication purpose</w:t>
      </w:r>
      <w:r w:rsidR="00BB68EE">
        <w:t xml:space="preserve">. </w:t>
      </w:r>
      <w:r w:rsidR="002F43AF">
        <w:t xml:space="preserve">In this way, cell switching can be implicitly achieved by indicating the TCI state QCLed with SSB from different cells. This is illustrated in Figure 3, where UE can be indicated with TCI state QCLed with SSB from its own serving cell with PCI 0, or with SSB from a neighbour non-serving cell with PCI 3 or 4. </w:t>
      </w:r>
      <w:r w:rsidR="008C348C">
        <w:t>Moreover</w:t>
      </w:r>
      <w:r w:rsidR="001D576A">
        <w:t xml:space="preserve">, </w:t>
      </w:r>
      <w:r w:rsidR="006F222D">
        <w:t xml:space="preserve">the </w:t>
      </w:r>
      <w:r w:rsidR="001D576A">
        <w:t xml:space="preserve">concept </w:t>
      </w:r>
      <w:r w:rsidR="006F222D">
        <w:t xml:space="preserve">of QCL source from non-serving cell </w:t>
      </w:r>
      <w:r w:rsidR="001D576A">
        <w:t xml:space="preserve">has been adopted in R16 Positioning. </w:t>
      </w:r>
    </w:p>
    <w:p w14:paraId="3303D339" w14:textId="6D3E3FB8" w:rsidR="00023693" w:rsidRPr="00DA4FF4" w:rsidRDefault="00023693" w:rsidP="00023693">
      <w:pPr>
        <w:jc w:val="both"/>
        <w:rPr>
          <w:b/>
          <w:lang w:eastAsia="ja-JP"/>
        </w:rPr>
      </w:pPr>
      <w:bookmarkStart w:id="12" w:name="_Hlk47704748"/>
      <w:r w:rsidRPr="002E629B">
        <w:rPr>
          <w:b/>
          <w:u w:val="single"/>
          <w:lang w:eastAsia="ja-JP"/>
        </w:rPr>
        <w:t xml:space="preserve">Proposal </w:t>
      </w:r>
      <w:r w:rsidR="004A4A3F">
        <w:rPr>
          <w:b/>
          <w:u w:val="single"/>
          <w:lang w:eastAsia="ja-JP"/>
        </w:rPr>
        <w:t>14</w:t>
      </w:r>
      <w:r w:rsidRPr="002E629B">
        <w:rPr>
          <w:b/>
          <w:lang w:eastAsia="ja-JP"/>
        </w:rPr>
        <w:t xml:space="preserve">: </w:t>
      </w:r>
      <w:r>
        <w:rPr>
          <w:b/>
          <w:lang w:eastAsia="ja-JP"/>
        </w:rPr>
        <w:t>For L1/L2 inter-cell mobility, support TCI state with QCL source as SSB from non-serving PCI</w:t>
      </w:r>
      <w:r w:rsidR="002976A1">
        <w:rPr>
          <w:b/>
          <w:lang w:eastAsia="ja-JP"/>
        </w:rPr>
        <w:t>.</w:t>
      </w:r>
    </w:p>
    <w:bookmarkEnd w:id="12"/>
    <w:p w14:paraId="5BA03521" w14:textId="4B149257" w:rsidR="00547D64" w:rsidRDefault="008E2EF8" w:rsidP="00464801">
      <w:pPr>
        <w:jc w:val="both"/>
      </w:pPr>
      <w:r>
        <w:t xml:space="preserve">For inter-cell mobility, one important aspect is the mobility of PCell, which provides basic cell functions including RACH, PUCCH, paging, system info, RLM, etc. UE’s mobility area </w:t>
      </w:r>
      <w:r w:rsidR="006253D4">
        <w:t>will be significantly</w:t>
      </w:r>
      <w:r>
        <w:t xml:space="preserve"> limited </w:t>
      </w:r>
      <w:r w:rsidR="00C95DE0">
        <w:t>if</w:t>
      </w:r>
      <w:r>
        <w:t xml:space="preserve"> the PCell</w:t>
      </w:r>
      <w:r w:rsidR="00C95DE0">
        <w:t xml:space="preserve"> cannot </w:t>
      </w:r>
      <w:r w:rsidR="00CE4C50">
        <w:t xml:space="preserve">be </w:t>
      </w:r>
      <w:r w:rsidR="007621A2">
        <w:t>move</w:t>
      </w:r>
      <w:r w:rsidR="00CE4C50">
        <w:t>d</w:t>
      </w:r>
      <w:r w:rsidR="007621A2">
        <w:t xml:space="preserve"> around</w:t>
      </w:r>
      <w:r>
        <w:t xml:space="preserve">. In R16, PCell </w:t>
      </w:r>
      <w:r w:rsidR="00B10999">
        <w:t>is</w:t>
      </w:r>
      <w:r>
        <w:t xml:space="preserve"> changed in RRC level. </w:t>
      </w:r>
      <w:r w:rsidR="00AC6009">
        <w:t xml:space="preserve">To truly realize L1/L2 based inter-cell mobility, </w:t>
      </w:r>
      <w:r w:rsidR="008D7CDC">
        <w:t xml:space="preserve">serving cells including PCell should be dynamically selected/deselected via L1/L2 signalling. </w:t>
      </w:r>
      <w:r w:rsidR="007072CA">
        <w:t xml:space="preserve">A general example is illustrated in </w:t>
      </w:r>
      <w:r w:rsidR="00721CFA">
        <w:t>Figure 4, where a set of cells</w:t>
      </w:r>
      <w:r w:rsidR="009147E0">
        <w:t xml:space="preserve">, e.g. Cell 1-8, </w:t>
      </w:r>
      <w:r w:rsidR="00721CFA">
        <w:t>are pre-configured at UE for L1 measurement</w:t>
      </w:r>
      <w:r w:rsidR="009147E0">
        <w:t>, based on which a subset of pre-configured cells, e.g. Cell</w:t>
      </w:r>
      <w:r w:rsidR="00A05FA2">
        <w:t xml:space="preserve"> </w:t>
      </w:r>
      <w:r w:rsidR="009147E0">
        <w:t>2-4, are dynamically activated by L1/L2 signalling to serve the UE</w:t>
      </w:r>
      <w:r w:rsidR="007F2020">
        <w:t xml:space="preserve">, and one activated cell </w:t>
      </w:r>
      <w:r w:rsidR="001F121C">
        <w:t xml:space="preserve">can </w:t>
      </w:r>
      <w:r w:rsidR="007F2020">
        <w:t xml:space="preserve">function as the PCell. </w:t>
      </w:r>
      <w:r w:rsidR="00173160">
        <w:t xml:space="preserve">In this way, L1/L2 based inter-cell mobility can potentially offer a large area for UE mobility. </w:t>
      </w:r>
    </w:p>
    <w:p w14:paraId="0B883A5D" w14:textId="158FDE42" w:rsidR="00FA6FC8" w:rsidRPr="00173160" w:rsidRDefault="00FA6FC8" w:rsidP="00FA6FC8">
      <w:pPr>
        <w:jc w:val="both"/>
        <w:rPr>
          <w:b/>
          <w:lang w:eastAsia="ja-JP"/>
        </w:rPr>
      </w:pPr>
      <w:r w:rsidRPr="002E629B">
        <w:rPr>
          <w:b/>
          <w:u w:val="single"/>
          <w:lang w:eastAsia="ja-JP"/>
        </w:rPr>
        <w:t xml:space="preserve">Proposal </w:t>
      </w:r>
      <w:r w:rsidR="00332F19">
        <w:rPr>
          <w:b/>
          <w:u w:val="single"/>
          <w:lang w:eastAsia="ja-JP"/>
        </w:rPr>
        <w:t>15</w:t>
      </w:r>
      <w:r w:rsidRPr="002E629B">
        <w:rPr>
          <w:b/>
          <w:lang w:eastAsia="ja-JP"/>
        </w:rPr>
        <w:t xml:space="preserve">: </w:t>
      </w:r>
      <w:r>
        <w:rPr>
          <w:b/>
          <w:lang w:eastAsia="ja-JP"/>
        </w:rPr>
        <w:t>For L1/L2 inter-cell mobility, support L1/L2 based selection of serving cell(s), including PCell</w:t>
      </w:r>
      <w:r w:rsidR="002976A1">
        <w:rPr>
          <w:b/>
          <w:lang w:eastAsia="ja-JP"/>
        </w:rPr>
        <w:t>.</w:t>
      </w:r>
    </w:p>
    <w:p w14:paraId="0433B6C3" w14:textId="4F156C45" w:rsidR="00FA6FC8" w:rsidRPr="00DA4FF4" w:rsidRDefault="00FA6FC8" w:rsidP="00FA6FC8">
      <w:pPr>
        <w:jc w:val="both"/>
        <w:rPr>
          <w:b/>
          <w:lang w:eastAsia="ja-JP"/>
        </w:rPr>
      </w:pPr>
      <w:r w:rsidRPr="002E629B">
        <w:rPr>
          <w:b/>
          <w:u w:val="single"/>
          <w:lang w:eastAsia="ja-JP"/>
        </w:rPr>
        <w:t xml:space="preserve">Proposal </w:t>
      </w:r>
      <w:r w:rsidR="00332F19">
        <w:rPr>
          <w:b/>
          <w:u w:val="single"/>
          <w:lang w:eastAsia="ja-JP"/>
        </w:rPr>
        <w:t>16</w:t>
      </w:r>
      <w:r w:rsidRPr="002E629B">
        <w:rPr>
          <w:b/>
          <w:lang w:eastAsia="ja-JP"/>
        </w:rPr>
        <w:t xml:space="preserve">: </w:t>
      </w:r>
      <w:r w:rsidR="00554DC8">
        <w:rPr>
          <w:b/>
          <w:lang w:eastAsia="ja-JP"/>
        </w:rPr>
        <w:t xml:space="preserve">For L1/L2 inter-cell mobility, </w:t>
      </w:r>
      <w:r>
        <w:rPr>
          <w:b/>
          <w:lang w:eastAsia="ja-JP"/>
        </w:rPr>
        <w:t>a set of candidate serving cells</w:t>
      </w:r>
      <w:r w:rsidR="00554DC8">
        <w:rPr>
          <w:b/>
          <w:lang w:eastAsia="ja-JP"/>
        </w:rPr>
        <w:t xml:space="preserve"> can be pre-configured for L1 measurement</w:t>
      </w:r>
      <w:r>
        <w:rPr>
          <w:b/>
          <w:lang w:eastAsia="ja-JP"/>
        </w:rPr>
        <w:t xml:space="preserve">, </w:t>
      </w:r>
      <w:r w:rsidR="00554DC8">
        <w:rPr>
          <w:b/>
          <w:lang w:eastAsia="ja-JP"/>
        </w:rPr>
        <w:t>based on</w:t>
      </w:r>
      <w:r>
        <w:rPr>
          <w:b/>
          <w:lang w:eastAsia="ja-JP"/>
        </w:rPr>
        <w:t xml:space="preserve"> which a subset of </w:t>
      </w:r>
      <w:r w:rsidR="00554DC8">
        <w:rPr>
          <w:b/>
          <w:lang w:eastAsia="ja-JP"/>
        </w:rPr>
        <w:t xml:space="preserve">pre-configured </w:t>
      </w:r>
      <w:r>
        <w:rPr>
          <w:b/>
          <w:lang w:eastAsia="ja-JP"/>
        </w:rPr>
        <w:t xml:space="preserve">cells </w:t>
      </w:r>
      <w:r w:rsidR="00554DC8">
        <w:rPr>
          <w:b/>
          <w:lang w:eastAsia="ja-JP"/>
        </w:rPr>
        <w:t>can be dynamically activated</w:t>
      </w:r>
      <w:r>
        <w:rPr>
          <w:b/>
          <w:lang w:eastAsia="ja-JP"/>
        </w:rPr>
        <w:t xml:space="preserve"> by L1/L2</w:t>
      </w:r>
      <w:r w:rsidR="002976A1">
        <w:rPr>
          <w:b/>
          <w:lang w:eastAsia="ja-JP"/>
        </w:rPr>
        <w:t>.</w:t>
      </w:r>
    </w:p>
    <w:p w14:paraId="4F6ECFE3" w14:textId="374D610C" w:rsidR="00D1272D" w:rsidRPr="00023693" w:rsidRDefault="00711538" w:rsidP="00711538">
      <w:pPr>
        <w:jc w:val="center"/>
      </w:pPr>
      <w:r w:rsidRPr="00E03BC0">
        <w:rPr>
          <w:lang w:val="en-US"/>
        </w:rPr>
        <w:object w:dxaOrig="7999" w:dyaOrig="4242" w14:anchorId="52CA55E0">
          <v:shape id="_x0000_i1027" type="#_x0000_t75" style="width:349.2pt;height:185.2pt" o:ole="">
            <v:imagedata r:id="rId18" o:title=""/>
          </v:shape>
          <o:OLEObject Type="Embed" ProgID="Visio.Drawing.11" ShapeID="_x0000_i1027" DrawAspect="Content" ObjectID="_1658324437" r:id="rId19"/>
        </w:object>
      </w:r>
    </w:p>
    <w:p w14:paraId="27E99590" w14:textId="228F50F0" w:rsidR="007A03D4" w:rsidRPr="00FA6FC8" w:rsidRDefault="007072CA" w:rsidP="00FA6FC8">
      <w:pPr>
        <w:spacing w:after="200"/>
        <w:jc w:val="center"/>
        <w:rPr>
          <w:b/>
          <w:iCs/>
          <w:szCs w:val="22"/>
        </w:rPr>
      </w:pPr>
      <w:r w:rsidRPr="00723189">
        <w:rPr>
          <w:b/>
          <w:iCs/>
          <w:szCs w:val="22"/>
        </w:rPr>
        <w:t>Figure</w:t>
      </w:r>
      <w:r>
        <w:rPr>
          <w:b/>
          <w:iCs/>
          <w:szCs w:val="22"/>
        </w:rPr>
        <w:t xml:space="preserve"> 4</w:t>
      </w:r>
      <w:r w:rsidRPr="00723189">
        <w:rPr>
          <w:b/>
          <w:iCs/>
          <w:szCs w:val="22"/>
        </w:rPr>
        <w:t xml:space="preserve">: </w:t>
      </w:r>
      <w:r w:rsidR="0044652A">
        <w:rPr>
          <w:b/>
          <w:iCs/>
          <w:szCs w:val="22"/>
        </w:rPr>
        <w:t xml:space="preserve">L1/L2 </w:t>
      </w:r>
      <w:r w:rsidR="002B23A4">
        <w:rPr>
          <w:b/>
          <w:iCs/>
          <w:szCs w:val="22"/>
        </w:rPr>
        <w:t xml:space="preserve">Based </w:t>
      </w:r>
      <w:r w:rsidR="0044652A">
        <w:rPr>
          <w:b/>
          <w:iCs/>
          <w:szCs w:val="22"/>
        </w:rPr>
        <w:t xml:space="preserve">Active Cell Set </w:t>
      </w:r>
      <w:r w:rsidR="002B23A4">
        <w:rPr>
          <w:b/>
          <w:iCs/>
          <w:szCs w:val="22"/>
        </w:rPr>
        <w:t xml:space="preserve">Selection </w:t>
      </w:r>
      <w:r w:rsidR="0044652A">
        <w:rPr>
          <w:b/>
          <w:iCs/>
          <w:szCs w:val="22"/>
        </w:rPr>
        <w:t>from Configured Cell Set</w:t>
      </w:r>
    </w:p>
    <w:p w14:paraId="6F9A8682" w14:textId="186E6361" w:rsidR="00025FE3" w:rsidRDefault="007332CB" w:rsidP="00025FE3">
      <w:pPr>
        <w:jc w:val="both"/>
        <w:rPr>
          <w:lang w:val="en-US"/>
        </w:rPr>
      </w:pPr>
      <w:r>
        <w:rPr>
          <w:lang w:val="en-US"/>
        </w:rPr>
        <w:t>In L1/L2 based inter-cell mobility</w:t>
      </w:r>
      <w:r w:rsidRPr="007332CB">
        <w:rPr>
          <w:lang w:val="en-US"/>
        </w:rPr>
        <w:t xml:space="preserve">, </w:t>
      </w:r>
      <w:r>
        <w:rPr>
          <w:lang w:val="en-US"/>
        </w:rPr>
        <w:t>candidate cells or PCIs</w:t>
      </w:r>
      <w:r w:rsidRPr="007332CB">
        <w:rPr>
          <w:lang w:val="en-US"/>
        </w:rPr>
        <w:t xml:space="preserve"> can </w:t>
      </w:r>
      <w:r>
        <w:rPr>
          <w:lang w:val="en-US"/>
        </w:rPr>
        <w:t>be widely separated with different propagation delays to the UE</w:t>
      </w:r>
      <w:r w:rsidRPr="007332CB">
        <w:rPr>
          <w:lang w:val="en-US"/>
        </w:rPr>
        <w:t xml:space="preserve"> and, hence, UE may have different TAs to </w:t>
      </w:r>
      <w:r w:rsidR="00025FE3">
        <w:rPr>
          <w:lang w:val="en-US"/>
        </w:rPr>
        <w:t>them</w:t>
      </w:r>
      <w:r>
        <w:rPr>
          <w:lang w:val="en-US"/>
        </w:rPr>
        <w:t xml:space="preserve">. </w:t>
      </w:r>
      <w:r w:rsidR="008203ED">
        <w:rPr>
          <w:lang w:val="en-US"/>
        </w:rPr>
        <w:t>Upon</w:t>
      </w:r>
      <w:r w:rsidR="00025FE3">
        <w:rPr>
          <w:lang w:val="en-US"/>
        </w:rPr>
        <w:t xml:space="preserve"> a new cell or PCI is selected</w:t>
      </w:r>
      <w:r w:rsidRPr="007332CB">
        <w:rPr>
          <w:lang w:val="en-US"/>
        </w:rPr>
        <w:t xml:space="preserve">, gNB </w:t>
      </w:r>
      <w:r>
        <w:rPr>
          <w:lang w:val="en-US"/>
        </w:rPr>
        <w:t xml:space="preserve">may </w:t>
      </w:r>
      <w:r w:rsidR="00025FE3">
        <w:rPr>
          <w:lang w:val="en-US"/>
        </w:rPr>
        <w:t>have</w:t>
      </w:r>
      <w:r w:rsidRPr="007332CB">
        <w:rPr>
          <w:lang w:val="en-US"/>
        </w:rPr>
        <w:t xml:space="preserve"> to update </w:t>
      </w:r>
      <w:r w:rsidR="00143E93">
        <w:rPr>
          <w:lang w:val="en-US"/>
        </w:rPr>
        <w:t>the corresponding</w:t>
      </w:r>
      <w:r w:rsidR="00025FE3">
        <w:rPr>
          <w:lang w:val="en-US"/>
        </w:rPr>
        <w:t xml:space="preserve"> </w:t>
      </w:r>
      <w:r w:rsidRPr="007332CB">
        <w:rPr>
          <w:lang w:val="en-US"/>
        </w:rPr>
        <w:t>TA</w:t>
      </w:r>
      <w:r>
        <w:rPr>
          <w:lang w:val="en-US"/>
        </w:rPr>
        <w:t xml:space="preserve">, e.g. via PDCCH order. </w:t>
      </w:r>
      <w:r>
        <w:t xml:space="preserve">To reduce </w:t>
      </w:r>
      <w:r w:rsidR="008203ED">
        <w:t xml:space="preserve">the </w:t>
      </w:r>
      <w:r>
        <w:t xml:space="preserve">cell </w:t>
      </w:r>
      <w:r w:rsidR="00025FE3">
        <w:t xml:space="preserve">or PCI </w:t>
      </w:r>
      <w:r>
        <w:t xml:space="preserve">switching latency, </w:t>
      </w:r>
      <w:r w:rsidR="00025FE3">
        <w:t xml:space="preserve">the TA can be periodically maintained per </w:t>
      </w:r>
      <w:r w:rsidR="00183C20">
        <w:t xml:space="preserve">candidate </w:t>
      </w:r>
      <w:r w:rsidR="00025FE3">
        <w:t xml:space="preserve">non-serving cell or PCI before </w:t>
      </w:r>
      <w:r w:rsidR="008203ED">
        <w:t>they are selected to serve the UE</w:t>
      </w:r>
      <w:r w:rsidR="00025FE3">
        <w:t xml:space="preserve">. </w:t>
      </w:r>
      <w:r w:rsidR="008203ED">
        <w:t xml:space="preserve">Once </w:t>
      </w:r>
      <w:r w:rsidR="00025FE3" w:rsidRPr="00980258">
        <w:t xml:space="preserve">UE is switched to </w:t>
      </w:r>
      <w:r w:rsidR="00025FE3">
        <w:t>a new cell or PCI</w:t>
      </w:r>
      <w:r w:rsidR="00025FE3" w:rsidRPr="00980258">
        <w:t xml:space="preserve">, UE </w:t>
      </w:r>
      <w:r w:rsidR="00143E93">
        <w:t>can</w:t>
      </w:r>
      <w:r w:rsidR="00025FE3" w:rsidRPr="00980258">
        <w:t xml:space="preserve"> directly apply the corresponding </w:t>
      </w:r>
      <w:r w:rsidR="00025FE3">
        <w:t xml:space="preserve">latest </w:t>
      </w:r>
      <w:r w:rsidR="00025FE3" w:rsidRPr="00980258">
        <w:t xml:space="preserve">TA </w:t>
      </w:r>
      <w:r w:rsidR="00143E93">
        <w:t xml:space="preserve">updated </w:t>
      </w:r>
      <w:r w:rsidR="00025FE3" w:rsidRPr="00980258">
        <w:t>before the</w:t>
      </w:r>
      <w:r w:rsidR="009A6446">
        <w:t xml:space="preserve"> </w:t>
      </w:r>
      <w:r w:rsidR="00025FE3" w:rsidRPr="00980258">
        <w:t>switch</w:t>
      </w:r>
      <w:r w:rsidR="009A6446">
        <w:t>ing</w:t>
      </w:r>
      <w:r w:rsidR="00025FE3">
        <w:t>.</w:t>
      </w:r>
    </w:p>
    <w:p w14:paraId="50A03908" w14:textId="58DCC5D4" w:rsidR="00DC01E5" w:rsidRPr="00DA4FF4" w:rsidRDefault="00C405F3" w:rsidP="00DC01E5">
      <w:pPr>
        <w:jc w:val="both"/>
        <w:rPr>
          <w:b/>
          <w:lang w:eastAsia="ja-JP"/>
        </w:rPr>
      </w:pPr>
      <w:r w:rsidRPr="002E629B">
        <w:rPr>
          <w:b/>
          <w:u w:val="single"/>
          <w:lang w:eastAsia="ja-JP"/>
        </w:rPr>
        <w:t xml:space="preserve">Proposal </w:t>
      </w:r>
      <w:r w:rsidR="001A3B0F">
        <w:rPr>
          <w:b/>
          <w:u w:val="single"/>
          <w:lang w:eastAsia="ja-JP"/>
        </w:rPr>
        <w:t>17</w:t>
      </w:r>
      <w:r w:rsidRPr="002E629B">
        <w:rPr>
          <w:b/>
          <w:lang w:eastAsia="ja-JP"/>
        </w:rPr>
        <w:t xml:space="preserve">: </w:t>
      </w:r>
      <w:r>
        <w:rPr>
          <w:b/>
          <w:lang w:eastAsia="ja-JP"/>
        </w:rPr>
        <w:t xml:space="preserve">Support </w:t>
      </w:r>
      <w:r w:rsidR="00DC4C09">
        <w:rPr>
          <w:b/>
          <w:lang w:eastAsia="ja-JP"/>
        </w:rPr>
        <w:t>updating timing advance for non-serving cell</w:t>
      </w:r>
      <w:r w:rsidR="00105055">
        <w:rPr>
          <w:b/>
          <w:lang w:eastAsia="ja-JP"/>
        </w:rPr>
        <w:t xml:space="preserve"> or </w:t>
      </w:r>
      <w:r w:rsidR="00DC4C09">
        <w:rPr>
          <w:b/>
          <w:lang w:eastAsia="ja-JP"/>
        </w:rPr>
        <w:t>PCI</w:t>
      </w:r>
      <w:r w:rsidR="002976A1">
        <w:rPr>
          <w:b/>
          <w:lang w:eastAsia="ja-JP"/>
        </w:rPr>
        <w:t>.</w:t>
      </w:r>
    </w:p>
    <w:p w14:paraId="57F46BB8" w14:textId="43927676" w:rsidR="003F4630" w:rsidRPr="007A0368" w:rsidRDefault="003F4630" w:rsidP="003F4630">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UL Beam Selection Considering MPE</w:t>
      </w:r>
    </w:p>
    <w:p w14:paraId="15DD4DE3" w14:textId="46B0DB34" w:rsidR="008F6198" w:rsidRDefault="008F6198" w:rsidP="008F6198">
      <w:pPr>
        <w:jc w:val="both"/>
      </w:pPr>
      <w:r w:rsidRPr="00C4350C">
        <w:rPr>
          <w:rFonts w:eastAsia="PMingLiU"/>
          <w:lang w:val="en-US"/>
        </w:rPr>
        <w:t>Due to the RF exposure issues, a UE cannot transmit with very high power towards a nearby human body</w:t>
      </w:r>
      <w:r>
        <w:rPr>
          <w:rFonts w:eastAsia="PMingLiU"/>
          <w:lang w:val="en-US"/>
        </w:rPr>
        <w:t xml:space="preserve">. </w:t>
      </w:r>
      <w:r w:rsidRPr="00C4350C">
        <w:rPr>
          <w:rFonts w:eastAsia="PMingLiU"/>
          <w:lang w:val="en-US"/>
        </w:rPr>
        <w:t xml:space="preserve">RAN4 has introduced during Rel-15 in the specification to enable the UE to comply with regulatory maximum </w:t>
      </w:r>
      <w:r>
        <w:t xml:space="preserve">permittable </w:t>
      </w:r>
      <w:r w:rsidRPr="00C4350C">
        <w:rPr>
          <w:rFonts w:eastAsia="PMingLiU"/>
          <w:lang w:val="en-US"/>
        </w:rPr>
        <w:t xml:space="preserve">exposure (MPE) limits, one is P-MPR, the other is </w:t>
      </w:r>
      <w:r w:rsidRPr="00773568">
        <w:rPr>
          <w:rFonts w:eastAsia="PMingLiU"/>
          <w:i/>
          <w:iCs/>
          <w:lang w:val="en-US"/>
        </w:rPr>
        <w:t>maxUplinkDutyCycle</w:t>
      </w:r>
      <w:r w:rsidRPr="00C4350C">
        <w:rPr>
          <w:rFonts w:eastAsia="PMingLiU"/>
          <w:lang w:val="en-US"/>
        </w:rPr>
        <w:t xml:space="preserve"> capability.</w:t>
      </w:r>
      <w:r>
        <w:rPr>
          <w:rFonts w:eastAsia="PMingLiU"/>
          <w:lang w:val="en-US"/>
        </w:rPr>
        <w:t xml:space="preserve"> When suffering from the MPE issue, the transmit power may be </w:t>
      </w:r>
      <w:r w:rsidR="00233FDC">
        <w:rPr>
          <w:rFonts w:eastAsia="PMingLiU"/>
          <w:lang w:val="en-US"/>
        </w:rPr>
        <w:t xml:space="preserve">significantly </w:t>
      </w:r>
      <w:r>
        <w:rPr>
          <w:rFonts w:eastAsia="PMingLiU"/>
          <w:lang w:val="en-US"/>
        </w:rPr>
        <w:t>reduced</w:t>
      </w:r>
      <w:r w:rsidR="00233FDC">
        <w:rPr>
          <w:rFonts w:eastAsia="PMingLiU"/>
          <w:lang w:val="en-US"/>
        </w:rPr>
        <w:t xml:space="preserve"> and, hence,</w:t>
      </w:r>
      <w:r>
        <w:rPr>
          <w:rFonts w:eastAsia="PMingLiU"/>
          <w:lang w:val="en-US"/>
        </w:rPr>
        <w:t xml:space="preserve"> </w:t>
      </w:r>
      <w:r w:rsidR="00233FDC">
        <w:rPr>
          <w:rFonts w:eastAsia="PMingLiU"/>
          <w:lang w:val="en-US"/>
        </w:rPr>
        <w:t>may</w:t>
      </w:r>
      <w:r>
        <w:rPr>
          <w:rFonts w:eastAsia="PMingLiU"/>
          <w:lang w:val="en-US"/>
        </w:rPr>
        <w:t xml:space="preserve"> result in </w:t>
      </w:r>
      <w:r w:rsidRPr="00C4350C">
        <w:rPr>
          <w:rFonts w:eastAsia="PMingLiU"/>
          <w:lang w:val="en-US"/>
        </w:rPr>
        <w:t>large performance degradation or even link failure</w:t>
      </w:r>
      <w:r>
        <w:rPr>
          <w:rFonts w:eastAsia="PMingLiU"/>
          <w:lang w:val="en-US"/>
        </w:rPr>
        <w:t xml:space="preserve"> in uplink transmissions. </w:t>
      </w:r>
      <w:r w:rsidRPr="00C4350C">
        <w:rPr>
          <w:rFonts w:eastAsia="PMingLiU"/>
          <w:lang w:val="en-US"/>
        </w:rPr>
        <w:t xml:space="preserve">However, the MPE issue is highly directional in FR2. </w:t>
      </w:r>
      <w:r>
        <w:rPr>
          <w:rFonts w:eastAsia="PMingLiU"/>
          <w:lang w:val="en-US"/>
        </w:rPr>
        <w:t>This means, f</w:t>
      </w:r>
      <w:r w:rsidRPr="00C4350C">
        <w:rPr>
          <w:rFonts w:eastAsia="PMingLiU"/>
          <w:lang w:val="en-US"/>
        </w:rPr>
        <w:t xml:space="preserve">or a certain </w:t>
      </w:r>
      <w:r w:rsidR="007C13F4">
        <w:rPr>
          <w:rFonts w:eastAsia="PMingLiU"/>
          <w:lang w:val="en-US"/>
        </w:rPr>
        <w:t>UL</w:t>
      </w:r>
      <w:r w:rsidRPr="00C4350C">
        <w:rPr>
          <w:rFonts w:eastAsia="PMingLiU"/>
          <w:lang w:val="en-US"/>
        </w:rPr>
        <w:t xml:space="preserve"> beam, it may point towards a human body, and have potentially high P-MPR, while for some other uplink beams which may not point towards a human body, </w:t>
      </w:r>
      <w:r w:rsidR="00F272D1">
        <w:rPr>
          <w:rFonts w:eastAsia="PMingLiU"/>
          <w:lang w:val="en-US"/>
        </w:rPr>
        <w:t xml:space="preserve">they </w:t>
      </w:r>
      <w:r w:rsidRPr="00C4350C">
        <w:rPr>
          <w:rFonts w:eastAsia="PMingLiU"/>
          <w:lang w:val="en-US"/>
        </w:rPr>
        <w:t>can have low P-MPR. Thus</w:t>
      </w:r>
      <w:r>
        <w:rPr>
          <w:rFonts w:eastAsia="PMingLiU"/>
          <w:lang w:val="en-US"/>
        </w:rPr>
        <w:t>,</w:t>
      </w:r>
      <w:r w:rsidRPr="00C4350C">
        <w:rPr>
          <w:rFonts w:eastAsia="PMingLiU"/>
          <w:lang w:val="en-US"/>
        </w:rPr>
        <w:t xml:space="preserve"> the MPE issue can be </w:t>
      </w:r>
      <w:r w:rsidR="003732C7">
        <w:rPr>
          <w:rFonts w:eastAsia="PMingLiU"/>
          <w:lang w:val="en-US"/>
        </w:rPr>
        <w:t>UL</w:t>
      </w:r>
      <w:r w:rsidRPr="00C4350C">
        <w:rPr>
          <w:rFonts w:eastAsia="PMingLiU"/>
          <w:lang w:val="en-US"/>
        </w:rPr>
        <w:t xml:space="preserve"> beam specific and can be effectively alleviated by the </w:t>
      </w:r>
      <w:r w:rsidR="00524CEA">
        <w:rPr>
          <w:rFonts w:eastAsia="PMingLiU"/>
          <w:lang w:val="en-US"/>
        </w:rPr>
        <w:t>UL</w:t>
      </w:r>
      <w:r w:rsidRPr="00C4350C">
        <w:rPr>
          <w:rFonts w:eastAsia="PMingLiU"/>
          <w:lang w:val="en-US"/>
        </w:rPr>
        <w:t xml:space="preserve"> </w:t>
      </w:r>
      <w:r w:rsidR="00A73FAF">
        <w:rPr>
          <w:rFonts w:eastAsia="PMingLiU"/>
          <w:lang w:val="en-US"/>
        </w:rPr>
        <w:t xml:space="preserve">beam </w:t>
      </w:r>
      <w:r w:rsidRPr="00C4350C">
        <w:rPr>
          <w:rFonts w:eastAsia="PMingLiU"/>
          <w:lang w:val="en-US"/>
        </w:rPr>
        <w:t>management.</w:t>
      </w:r>
      <w:r>
        <w:rPr>
          <w:rFonts w:eastAsia="PMingLiU"/>
          <w:lang w:val="en-US"/>
        </w:rPr>
        <w:t xml:space="preserve"> </w:t>
      </w:r>
    </w:p>
    <w:p w14:paraId="68DFAB61" w14:textId="6077D7CA" w:rsidR="008F6198" w:rsidRDefault="008F6198" w:rsidP="009623E0">
      <w:pPr>
        <w:jc w:val="both"/>
      </w:pPr>
      <w:r>
        <w:rPr>
          <w:rFonts w:eastAsia="PMingLiU"/>
          <w:lang w:val="en-US"/>
        </w:rPr>
        <w:t xml:space="preserve">Basically, </w:t>
      </w:r>
      <w:r>
        <w:t xml:space="preserve">the MPE issue can be solved either from the gNB side or from the UE side. From the gNB side, UL beam reporting can be considered. In R15/16, </w:t>
      </w:r>
      <w:r w:rsidR="007A27AD">
        <w:t>DL</w:t>
      </w:r>
      <w:r>
        <w:t xml:space="preserve"> beam reporting </w:t>
      </w:r>
      <w:r w:rsidR="007A27AD">
        <w:t>is</w:t>
      </w:r>
      <w:r>
        <w:t xml:space="preserve"> supported for UE to report the preferred </w:t>
      </w:r>
      <w:r w:rsidR="007A27AD">
        <w:t>DL</w:t>
      </w:r>
      <w:r>
        <w:t xml:space="preserve"> reception beams, where the RSRP is used as the beam selection metric primarily for </w:t>
      </w:r>
      <w:r w:rsidR="007A27AD">
        <w:t>DL</w:t>
      </w:r>
      <w:r>
        <w:t xml:space="preserve">. However, the preferred beams for receiving DL transmission can be different from the preferred beams for </w:t>
      </w:r>
      <w:r w:rsidR="007A27AD">
        <w:t>UL</w:t>
      </w:r>
      <w:r>
        <w:t xml:space="preserve"> channels. For example, the </w:t>
      </w:r>
      <w:r w:rsidR="007A27AD">
        <w:t>UL</w:t>
      </w:r>
      <w:r>
        <w:t xml:space="preserve"> beam may suffer from the MPE issue, while the corresponding DL beam </w:t>
      </w:r>
      <w:r w:rsidR="00541ACA">
        <w:t>is</w:t>
      </w:r>
      <w:r w:rsidR="00737224">
        <w:t xml:space="preserve"> not affected by</w:t>
      </w:r>
      <w:r>
        <w:t xml:space="preserve"> </w:t>
      </w:r>
      <w:r w:rsidR="00744954">
        <w:t xml:space="preserve">the </w:t>
      </w:r>
      <w:r>
        <w:t>MPE. Thus, to maxi</w:t>
      </w:r>
      <w:r w:rsidR="00D04337">
        <w:t>mize</w:t>
      </w:r>
      <w:r>
        <w:t xml:space="preserve"> the UL coverage</w:t>
      </w:r>
      <w:r w:rsidR="007A27AD">
        <w:t xml:space="preserve"> </w:t>
      </w:r>
      <w:r>
        <w:t>while maintaining DL</w:t>
      </w:r>
      <w:r w:rsidR="007A27AD">
        <w:t xml:space="preserve"> </w:t>
      </w:r>
      <w:r>
        <w:t xml:space="preserve">performance, it is beneficial for UE to report CRI/SSBRI for preferred </w:t>
      </w:r>
      <w:r w:rsidR="007A27AD">
        <w:t>UL</w:t>
      </w:r>
      <w:r>
        <w:t xml:space="preserve"> </w:t>
      </w:r>
      <w:r w:rsidR="00744954">
        <w:t xml:space="preserve">and DL </w:t>
      </w:r>
      <w:r>
        <w:t>beam</w:t>
      </w:r>
      <w:r w:rsidR="00744954">
        <w:t>s, respectively</w:t>
      </w:r>
      <w:r>
        <w:t xml:space="preserve">. To </w:t>
      </w:r>
      <w:r w:rsidR="00744954">
        <w:t>achieve this</w:t>
      </w:r>
      <w:r>
        <w:t xml:space="preserve">, gNB may configure UE to report the preferred </w:t>
      </w:r>
      <w:r w:rsidR="00541ACA">
        <w:t xml:space="preserve">UL </w:t>
      </w:r>
      <w:r>
        <w:t xml:space="preserve">beams in UL beam report, separately from the </w:t>
      </w:r>
      <w:r w:rsidR="00541ACA">
        <w:t xml:space="preserve">preferred </w:t>
      </w:r>
      <w:r w:rsidR="00744954">
        <w:t>DL</w:t>
      </w:r>
      <w:r>
        <w:t xml:space="preserve"> beams</w:t>
      </w:r>
      <w:r w:rsidR="00F610F6">
        <w:t xml:space="preserve"> in DL beam report</w:t>
      </w:r>
      <w:r>
        <w:t xml:space="preserve">. Via </w:t>
      </w:r>
      <w:r w:rsidR="00744954">
        <w:t>UL</w:t>
      </w:r>
      <w:r>
        <w:t xml:space="preserve"> beam report, gNB can keep the preferred </w:t>
      </w:r>
      <w:r w:rsidR="00744954">
        <w:t>UL</w:t>
      </w:r>
      <w:r>
        <w:t xml:space="preserve"> beams updated for </w:t>
      </w:r>
      <w:r w:rsidR="00744954">
        <w:t>UL</w:t>
      </w:r>
      <w:r>
        <w:t xml:space="preserve"> transmission via </w:t>
      </w:r>
      <w:r w:rsidR="00744954">
        <w:t>UL</w:t>
      </w:r>
      <w:r>
        <w:t xml:space="preserve"> TCI framework</w:t>
      </w:r>
      <w:r w:rsidR="00744954">
        <w:t xml:space="preserve"> to </w:t>
      </w:r>
      <w:r>
        <w:t xml:space="preserve">avoid the MPE issue. </w:t>
      </w:r>
    </w:p>
    <w:p w14:paraId="67BE855F" w14:textId="11AF9DA7" w:rsidR="008F6198" w:rsidRDefault="008F6198" w:rsidP="008F6198">
      <w:pPr>
        <w:jc w:val="both"/>
        <w:rPr>
          <w:lang w:val="en-US"/>
        </w:rPr>
      </w:pPr>
      <w:r w:rsidRPr="00F12689">
        <w:rPr>
          <w:b/>
          <w:u w:val="single"/>
        </w:rPr>
        <w:t xml:space="preserve">Proposal </w:t>
      </w:r>
      <w:r w:rsidR="001A3B0F">
        <w:rPr>
          <w:b/>
          <w:u w:val="single"/>
        </w:rPr>
        <w:t>18</w:t>
      </w:r>
      <w:r w:rsidRPr="002E629B">
        <w:rPr>
          <w:b/>
          <w:u w:val="single"/>
        </w:rPr>
        <w:t>:</w:t>
      </w:r>
      <w:r w:rsidRPr="002E629B">
        <w:rPr>
          <w:b/>
        </w:rPr>
        <w:t xml:space="preserve"> </w:t>
      </w:r>
      <w:r w:rsidRPr="000C0364">
        <w:rPr>
          <w:b/>
        </w:rPr>
        <w:t xml:space="preserve">Support UE to report </w:t>
      </w:r>
      <w:r>
        <w:rPr>
          <w:b/>
        </w:rPr>
        <w:t xml:space="preserve">preferred </w:t>
      </w:r>
      <w:r w:rsidRPr="000C0364">
        <w:rPr>
          <w:b/>
        </w:rPr>
        <w:t xml:space="preserve">CRI/SSBRI for </w:t>
      </w:r>
      <w:r>
        <w:rPr>
          <w:b/>
        </w:rPr>
        <w:t xml:space="preserve">DL and </w:t>
      </w:r>
      <w:r w:rsidRPr="000C0364">
        <w:rPr>
          <w:b/>
        </w:rPr>
        <w:t>UL transmission</w:t>
      </w:r>
      <w:r w:rsidR="00253032">
        <w:rPr>
          <w:b/>
        </w:rPr>
        <w:t>s</w:t>
      </w:r>
      <w:r>
        <w:rPr>
          <w:b/>
        </w:rPr>
        <w:t>, separately</w:t>
      </w:r>
      <w:r>
        <w:t>.</w:t>
      </w:r>
    </w:p>
    <w:p w14:paraId="130F8540" w14:textId="7521CFAF" w:rsidR="008F6198" w:rsidRPr="003341B8" w:rsidRDefault="008F6198" w:rsidP="008F6198">
      <w:pPr>
        <w:jc w:val="both"/>
      </w:pPr>
      <w:r>
        <w:rPr>
          <w:lang w:val="en-US"/>
        </w:rPr>
        <w:t xml:space="preserve">From UE side, MPE reporting can </w:t>
      </w:r>
      <w:r w:rsidR="00A418A1">
        <w:rPr>
          <w:lang w:val="en-US"/>
        </w:rPr>
        <w:t xml:space="preserve">also </w:t>
      </w:r>
      <w:r>
        <w:rPr>
          <w:lang w:val="en-US"/>
        </w:rPr>
        <w:t xml:space="preserve">be </w:t>
      </w:r>
      <w:r w:rsidR="00A418A1">
        <w:rPr>
          <w:lang w:val="en-US"/>
        </w:rPr>
        <w:t>triggered by UL beam failure</w:t>
      </w:r>
      <w:r>
        <w:rPr>
          <w:lang w:val="en-US"/>
        </w:rPr>
        <w:t xml:space="preserve">. </w:t>
      </w:r>
      <w:r>
        <w:t xml:space="preserve">In general, the MPE event is </w:t>
      </w:r>
      <w:r w:rsidR="00BA3147">
        <w:t xml:space="preserve">difficult to be </w:t>
      </w:r>
      <w:r>
        <w:t>predict</w:t>
      </w:r>
      <w:r w:rsidR="00BA3147">
        <w:t>ed</w:t>
      </w:r>
      <w:r>
        <w:t xml:space="preserve"> </w:t>
      </w:r>
      <w:r w:rsidR="00BA3147">
        <w:t xml:space="preserve">at </w:t>
      </w:r>
      <w:r>
        <w:t>gNB or UE</w:t>
      </w:r>
      <w:r w:rsidR="00BA3147">
        <w:t xml:space="preserve">, and </w:t>
      </w:r>
      <w:r>
        <w:t xml:space="preserve">may happen in any serving cell. </w:t>
      </w:r>
      <w:r w:rsidR="00A95339">
        <w:t xml:space="preserve">Once MPE happens, the </w:t>
      </w:r>
      <w:r w:rsidR="005E37F2">
        <w:t>serving</w:t>
      </w:r>
      <w:r w:rsidR="00A95339">
        <w:t xml:space="preserve"> UL beam may fail and </w:t>
      </w:r>
      <w:r w:rsidR="005E37F2">
        <w:t xml:space="preserve">may </w:t>
      </w:r>
      <w:r w:rsidR="00A95339">
        <w:t>not be able to report the preferred DL/UL beam</w:t>
      </w:r>
      <w:r w:rsidR="005E37F2">
        <w:t>s</w:t>
      </w:r>
      <w:r w:rsidR="00A95339">
        <w:t xml:space="preserve"> as scheduled by gNB. In the presence of UL beam failure, the BFR framework in R15/16 can be reused for UE to report the MPE issue via RACH or SR. Upon receiving the MPE report, gNB can rely on UL TCI framework to either use </w:t>
      </w:r>
      <w:r w:rsidR="00C815FA">
        <w:t xml:space="preserve">any </w:t>
      </w:r>
      <w:r w:rsidR="00A95339">
        <w:t>new UL beam indicated in the report or trigger beam sweep to find</w:t>
      </w:r>
      <w:r w:rsidR="00C815FA">
        <w:t xml:space="preserve"> new </w:t>
      </w:r>
      <w:r w:rsidR="00A95339">
        <w:t>UL beam.</w:t>
      </w:r>
      <w:r>
        <w:t xml:space="preserve"> Thus, R15/16 BFR procedure can </w:t>
      </w:r>
      <w:r w:rsidR="00EC606D">
        <w:t>serve as</w:t>
      </w:r>
      <w:r>
        <w:t xml:space="preserve"> a reference </w:t>
      </w:r>
      <w:r w:rsidR="00EC606D">
        <w:t>for the</w:t>
      </w:r>
      <w:r>
        <w:t xml:space="preserve"> MPE reporting</w:t>
      </w:r>
      <w:r w:rsidR="00EC606D">
        <w:t xml:space="preserve"> procedure</w:t>
      </w:r>
      <w:r>
        <w:t>. For example, similar to R16 S</w:t>
      </w:r>
      <w:r w:rsidR="00EC606D">
        <w:t>C</w:t>
      </w:r>
      <w:r>
        <w:t xml:space="preserve">ell BFR, MAC-CE can be used to indicate the </w:t>
      </w:r>
      <w:r w:rsidR="00EC606D">
        <w:t>UL</w:t>
      </w:r>
      <w:r>
        <w:t xml:space="preserve"> beam failure in the MPE reporting, and </w:t>
      </w:r>
      <w:r w:rsidR="00EC606D">
        <w:t>SR</w:t>
      </w:r>
      <w:r>
        <w:t xml:space="preserve"> may be used when there is no suitable PUSCH.  </w:t>
      </w:r>
    </w:p>
    <w:p w14:paraId="5577A5C4" w14:textId="031FDB1E" w:rsidR="008F6198" w:rsidRDefault="008F6198" w:rsidP="008F6198">
      <w:pPr>
        <w:jc w:val="both"/>
        <w:rPr>
          <w:b/>
        </w:rPr>
      </w:pPr>
      <w:bookmarkStart w:id="13" w:name="_Hlk47704861"/>
      <w:r w:rsidRPr="00F12689">
        <w:rPr>
          <w:b/>
          <w:u w:val="single"/>
        </w:rPr>
        <w:t xml:space="preserve">Proposal </w:t>
      </w:r>
      <w:r w:rsidR="001A3B0F">
        <w:rPr>
          <w:b/>
          <w:u w:val="single"/>
        </w:rPr>
        <w:t>19</w:t>
      </w:r>
      <w:r w:rsidRPr="002E629B">
        <w:rPr>
          <w:b/>
          <w:u w:val="single"/>
        </w:rPr>
        <w:t>:</w:t>
      </w:r>
      <w:r w:rsidRPr="002E629B">
        <w:rPr>
          <w:b/>
        </w:rPr>
        <w:t xml:space="preserve"> </w:t>
      </w:r>
      <w:r w:rsidRPr="000C0364">
        <w:rPr>
          <w:b/>
        </w:rPr>
        <w:t xml:space="preserve">Support </w:t>
      </w:r>
      <w:r>
        <w:rPr>
          <w:b/>
        </w:rPr>
        <w:t>UE to report UL beam failure due to MPE issue</w:t>
      </w:r>
      <w:r w:rsidR="001A3B0F">
        <w:rPr>
          <w:b/>
        </w:rPr>
        <w:t>.</w:t>
      </w:r>
    </w:p>
    <w:p w14:paraId="6A1F2EE9" w14:textId="4C283686" w:rsidR="008F6198" w:rsidRPr="00A2175B" w:rsidRDefault="008F6198" w:rsidP="008F6198">
      <w:pPr>
        <w:pStyle w:val="ListParagraph"/>
        <w:numPr>
          <w:ilvl w:val="0"/>
          <w:numId w:val="12"/>
        </w:numPr>
        <w:spacing w:after="180"/>
      </w:pPr>
      <w:r>
        <w:rPr>
          <w:rFonts w:ascii="Times New Roman" w:eastAsia="Times New Roman" w:hAnsi="Times New Roman" w:cs="Times New Roman"/>
          <w:b/>
          <w:sz w:val="20"/>
          <w:szCs w:val="20"/>
        </w:rPr>
        <w:t>The Rel-15/16 BFR procedure can be a reference for the MPE reporting procedure.</w:t>
      </w:r>
    </w:p>
    <w:bookmarkEnd w:id="13"/>
    <w:p w14:paraId="49579143" w14:textId="11196387" w:rsidR="008F6198" w:rsidRPr="00903FFA" w:rsidRDefault="00410CB1" w:rsidP="00F6230C">
      <w:pPr>
        <w:jc w:val="both"/>
      </w:pPr>
      <w:r>
        <w:t>To</w:t>
      </w:r>
      <w:r w:rsidR="008F6198">
        <w:t xml:space="preserve"> enabl</w:t>
      </w:r>
      <w:r>
        <w:t>e</w:t>
      </w:r>
      <w:r w:rsidR="008F6198">
        <w:t xml:space="preserve"> </w:t>
      </w:r>
      <w:r w:rsidR="00D90243">
        <w:t>the</w:t>
      </w:r>
      <w:r w:rsidR="008F6198">
        <w:t xml:space="preserve"> MPE report from the UE, i</w:t>
      </w:r>
      <w:r w:rsidR="008F6198" w:rsidRPr="003341B8">
        <w:t xml:space="preserve">t is better to </w:t>
      </w:r>
      <w:r w:rsidR="008F6198">
        <w:t xml:space="preserve">clarify the </w:t>
      </w:r>
      <w:r w:rsidR="00D90243">
        <w:t>repor</w:t>
      </w:r>
      <w:r w:rsidR="00F6230C">
        <w:t>t</w:t>
      </w:r>
      <w:r w:rsidR="00694622">
        <w:t xml:space="preserve"> triggering</w:t>
      </w:r>
      <w:r w:rsidR="00F6230C">
        <w:t xml:space="preserve"> condition</w:t>
      </w:r>
      <w:r w:rsidR="008F6198">
        <w:t xml:space="preserve"> from</w:t>
      </w:r>
      <w:r w:rsidR="00D90243">
        <w:t xml:space="preserve"> L1/L2</w:t>
      </w:r>
      <w:r w:rsidR="008F6198">
        <w:t xml:space="preserve"> aspects</w:t>
      </w:r>
      <w:r w:rsidR="00F6230C">
        <w:t>. In R15/16,</w:t>
      </w:r>
      <w:r w:rsidR="00BB6488">
        <w:t xml:space="preserve"> </w:t>
      </w:r>
      <w:r w:rsidR="00F6230C">
        <w:t>metrics are defined for DL BFD and new beam identification, such as hypothetical BLER and RSRP</w:t>
      </w:r>
      <w:r w:rsidR="00EE0D34">
        <w:t xml:space="preserve">. </w:t>
      </w:r>
      <w:r w:rsidR="00F6230C">
        <w:t>In case of UL beam failure</w:t>
      </w:r>
      <w:r w:rsidR="008F6198">
        <w:t>, it needs to clarify</w:t>
      </w:r>
      <w:r w:rsidR="00F6230C">
        <w:t xml:space="preserve"> for</w:t>
      </w:r>
      <w:r w:rsidR="008F6198">
        <w:t xml:space="preserve"> a UE </w:t>
      </w:r>
      <w:r w:rsidR="00F6230C">
        <w:t>how to</w:t>
      </w:r>
      <w:r w:rsidR="008F6198">
        <w:t xml:space="preserve"> </w:t>
      </w:r>
      <w:r w:rsidR="00F6230C">
        <w:t xml:space="preserve">determine </w:t>
      </w:r>
      <w:r w:rsidR="00EE0D34">
        <w:t xml:space="preserve">the </w:t>
      </w:r>
      <w:r w:rsidR="00694622">
        <w:t>serving</w:t>
      </w:r>
      <w:r w:rsidR="00F6230C">
        <w:t xml:space="preserve"> UL beam suffers from MPE, </w:t>
      </w:r>
      <w:r w:rsidR="00BB6488">
        <w:t>and</w:t>
      </w:r>
      <w:r w:rsidR="00F6230C">
        <w:t xml:space="preserve"> another UL beam is better than th</w:t>
      </w:r>
      <w:r w:rsidR="00694622">
        <w:t>e serving UL beam</w:t>
      </w:r>
      <w:r w:rsidR="00F6230C">
        <w:t>.</w:t>
      </w:r>
      <w:r w:rsidR="00EE0D34">
        <w:t xml:space="preserve"> Specifically</w:t>
      </w:r>
      <w:r w:rsidR="008F6198" w:rsidRPr="003341B8">
        <w:t>, the MPE repor</w:t>
      </w:r>
      <w:r w:rsidR="00EE0D34">
        <w:t>t</w:t>
      </w:r>
      <w:r w:rsidR="008F6198" w:rsidRPr="003341B8">
        <w:t xml:space="preserve"> </w:t>
      </w:r>
      <w:r w:rsidR="00EE0D34">
        <w:t>may</w:t>
      </w:r>
      <w:r w:rsidR="008F6198" w:rsidRPr="003341B8">
        <w:t xml:space="preserve"> be </w:t>
      </w:r>
      <w:r w:rsidR="008F6198" w:rsidRPr="00534FAC">
        <w:t xml:space="preserve">triggered </w:t>
      </w:r>
      <w:r w:rsidR="00694622">
        <w:t xml:space="preserve">for the serving UL beam </w:t>
      </w:r>
      <w:r w:rsidR="008F6198" w:rsidRPr="00534FAC">
        <w:t xml:space="preserve">when the power backoff </w:t>
      </w:r>
      <w:r w:rsidR="008F6198" w:rsidRPr="00903FFA">
        <w:t xml:space="preserve">is greater than </w:t>
      </w:r>
      <w:r w:rsidR="00EE0D34">
        <w:t>a certain</w:t>
      </w:r>
      <w:r w:rsidR="008F6198" w:rsidRPr="00903FFA">
        <w:t xml:space="preserve"> threshold, or the estimated UL RSRP is below </w:t>
      </w:r>
      <w:r w:rsidR="00EE0D34">
        <w:t>a certain</w:t>
      </w:r>
      <w:r w:rsidR="008F6198" w:rsidRPr="00903FFA">
        <w:t xml:space="preserve"> threshold.</w:t>
      </w:r>
    </w:p>
    <w:p w14:paraId="598CBF64" w14:textId="70EE1ABA" w:rsidR="00212306" w:rsidRDefault="008F6198" w:rsidP="00212306">
      <w:pPr>
        <w:jc w:val="both"/>
        <w:rPr>
          <w:b/>
        </w:rPr>
      </w:pPr>
      <w:bookmarkStart w:id="14" w:name="_Hlk47704879"/>
      <w:r w:rsidRPr="00F12689">
        <w:rPr>
          <w:b/>
          <w:u w:val="single"/>
        </w:rPr>
        <w:t xml:space="preserve">Proposal </w:t>
      </w:r>
      <w:r w:rsidR="001A3B0F">
        <w:rPr>
          <w:b/>
          <w:u w:val="single"/>
        </w:rPr>
        <w:t>20</w:t>
      </w:r>
      <w:r w:rsidRPr="002E629B">
        <w:rPr>
          <w:b/>
          <w:u w:val="single"/>
        </w:rPr>
        <w:t>:</w:t>
      </w:r>
      <w:r w:rsidRPr="002E629B">
        <w:rPr>
          <w:b/>
        </w:rPr>
        <w:t xml:space="preserve"> </w:t>
      </w:r>
      <w:r>
        <w:rPr>
          <w:b/>
        </w:rPr>
        <w:t xml:space="preserve">The condition for UE to </w:t>
      </w:r>
      <w:r w:rsidR="00EE0D34">
        <w:rPr>
          <w:b/>
        </w:rPr>
        <w:t>trigger</w:t>
      </w:r>
      <w:r>
        <w:rPr>
          <w:b/>
        </w:rPr>
        <w:t xml:space="preserve"> MPE </w:t>
      </w:r>
      <w:r w:rsidR="00EE0D34">
        <w:rPr>
          <w:b/>
        </w:rPr>
        <w:t>report</w:t>
      </w:r>
      <w:r>
        <w:rPr>
          <w:b/>
        </w:rPr>
        <w:t xml:space="preserve"> should be specified</w:t>
      </w:r>
      <w:r w:rsidR="00E56561">
        <w:rPr>
          <w:b/>
        </w:rPr>
        <w:t>.</w:t>
      </w:r>
    </w:p>
    <w:bookmarkEnd w:id="11"/>
    <w:bookmarkEnd w:id="14"/>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26C3F37" w:rsidR="002E629B" w:rsidRPr="002E629B" w:rsidRDefault="002E629B" w:rsidP="009304AC">
      <w:pPr>
        <w:jc w:val="both"/>
        <w:rPr>
          <w:lang w:eastAsia="zh-CN"/>
        </w:rPr>
      </w:pPr>
      <w:r w:rsidRPr="002E629B">
        <w:rPr>
          <w:lang w:eastAsia="zh-CN"/>
        </w:rPr>
        <w:t>In this contribution we discussed enhancements for Rel-1</w:t>
      </w:r>
      <w:r w:rsidR="00FD1492">
        <w:rPr>
          <w:lang w:eastAsia="zh-CN"/>
        </w:rPr>
        <w:t>7</w:t>
      </w:r>
      <w:r w:rsidRPr="002E629B">
        <w:rPr>
          <w:lang w:eastAsia="zh-CN"/>
        </w:rPr>
        <w:t xml:space="preserve"> NR </w:t>
      </w:r>
      <w:r w:rsidR="00FD1492">
        <w:rPr>
          <w:lang w:eastAsia="zh-CN"/>
        </w:rPr>
        <w:t>Fe</w:t>
      </w:r>
      <w:r w:rsidRPr="002E629B">
        <w:rPr>
          <w:lang w:eastAsia="zh-CN"/>
        </w:rPr>
        <w:t>MIMO beam management. Below are the observations and proposals</w:t>
      </w:r>
    </w:p>
    <w:p w14:paraId="372787B6" w14:textId="77777777" w:rsidR="00004F9E" w:rsidRPr="00C0166C" w:rsidRDefault="00004F9E" w:rsidP="00004F9E">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Support DCI based beam update for PDCCH.</w:t>
      </w:r>
    </w:p>
    <w:p w14:paraId="3C2F680B" w14:textId="77777777" w:rsidR="00004F9E" w:rsidRPr="0017018C" w:rsidRDefault="00004F9E" w:rsidP="00004F9E">
      <w:pPr>
        <w:jc w:val="both"/>
        <w:rPr>
          <w:b/>
          <w:lang w:eastAsia="ja-JP"/>
        </w:rPr>
      </w:pPr>
      <w:r w:rsidRPr="0017018C">
        <w:rPr>
          <w:b/>
          <w:u w:val="single"/>
          <w:lang w:eastAsia="ja-JP"/>
        </w:rPr>
        <w:t xml:space="preserve">Proposal </w:t>
      </w:r>
      <w:r>
        <w:rPr>
          <w:b/>
          <w:u w:val="single"/>
          <w:lang w:eastAsia="ja-JP"/>
        </w:rPr>
        <w:t>2</w:t>
      </w:r>
      <w:r w:rsidRPr="0017018C">
        <w:rPr>
          <w:b/>
          <w:lang w:eastAsia="ja-JP"/>
        </w:rPr>
        <w:t xml:space="preserve">: Support </w:t>
      </w:r>
      <w:r>
        <w:rPr>
          <w:b/>
          <w:lang w:eastAsia="ja-JP"/>
        </w:rPr>
        <w:t>including default PDSCH beam in the common beam.</w:t>
      </w:r>
    </w:p>
    <w:p w14:paraId="72963C66" w14:textId="77777777" w:rsidR="00004F9E" w:rsidRPr="0017018C" w:rsidRDefault="00004F9E" w:rsidP="00004F9E">
      <w:pPr>
        <w:jc w:val="both"/>
        <w:rPr>
          <w:b/>
          <w:lang w:eastAsia="ja-JP"/>
        </w:rPr>
      </w:pPr>
      <w:r w:rsidRPr="0017018C">
        <w:rPr>
          <w:b/>
          <w:u w:val="single"/>
          <w:lang w:eastAsia="ja-JP"/>
        </w:rPr>
        <w:t xml:space="preserve">Proposal </w:t>
      </w:r>
      <w:r>
        <w:rPr>
          <w:b/>
          <w:u w:val="single"/>
          <w:lang w:eastAsia="ja-JP"/>
        </w:rPr>
        <w:t>3</w:t>
      </w:r>
      <w:r w:rsidRPr="0017018C">
        <w:rPr>
          <w:b/>
          <w:lang w:eastAsia="ja-JP"/>
        </w:rPr>
        <w:t xml:space="preserve">: Support </w:t>
      </w:r>
      <w:r>
        <w:rPr>
          <w:b/>
          <w:lang w:eastAsia="ja-JP"/>
        </w:rPr>
        <w:t>a common beam selected for a group of UEs.</w:t>
      </w:r>
    </w:p>
    <w:p w14:paraId="56FBCD51" w14:textId="77777777" w:rsidR="00004F9E" w:rsidRPr="002E629B" w:rsidRDefault="00004F9E" w:rsidP="00004F9E">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Support simultaneous pathloss RS activation across multiple CCs.</w:t>
      </w:r>
    </w:p>
    <w:p w14:paraId="61E3D446" w14:textId="77777777" w:rsidR="00004F9E" w:rsidRDefault="00004F9E" w:rsidP="00004F9E">
      <w:pPr>
        <w:jc w:val="both"/>
        <w:rPr>
          <w:b/>
          <w:lang w:eastAsia="ja-JP"/>
        </w:rPr>
      </w:pPr>
      <w:r w:rsidRPr="002E629B">
        <w:rPr>
          <w:b/>
          <w:u w:val="single"/>
          <w:lang w:eastAsia="ja-JP"/>
        </w:rPr>
        <w:lastRenderedPageBreak/>
        <w:t xml:space="preserve">Proposal </w:t>
      </w:r>
      <w:r>
        <w:rPr>
          <w:b/>
          <w:u w:val="single"/>
          <w:lang w:eastAsia="ja-JP"/>
        </w:rPr>
        <w:t>5</w:t>
      </w:r>
      <w:r w:rsidRPr="002E629B">
        <w:rPr>
          <w:b/>
          <w:lang w:eastAsia="ja-JP"/>
        </w:rPr>
        <w:t xml:space="preserve">: </w:t>
      </w:r>
      <w:r>
        <w:rPr>
          <w:b/>
          <w:lang w:eastAsia="ja-JP"/>
        </w:rPr>
        <w:t>Support simultaneous pathloss RS activation for multiple SRS resource sets.</w:t>
      </w:r>
    </w:p>
    <w:p w14:paraId="41553CE0" w14:textId="77777777" w:rsidR="0064271B" w:rsidRPr="002E629B" w:rsidRDefault="0064271B" w:rsidP="0064271B">
      <w:pPr>
        <w:jc w:val="both"/>
        <w:rPr>
          <w:b/>
          <w:lang w:eastAsia="ja-JP"/>
        </w:rPr>
      </w:pPr>
      <w:r w:rsidRPr="002E629B">
        <w:rPr>
          <w:b/>
          <w:u w:val="single"/>
          <w:lang w:eastAsia="ja-JP"/>
        </w:rPr>
        <w:t xml:space="preserve">Proposal </w:t>
      </w:r>
      <w:r>
        <w:rPr>
          <w:b/>
          <w:u w:val="single"/>
          <w:lang w:eastAsia="ja-JP"/>
        </w:rPr>
        <w:t>6</w:t>
      </w:r>
      <w:r w:rsidRPr="002E629B">
        <w:rPr>
          <w:b/>
          <w:lang w:eastAsia="ja-JP"/>
        </w:rPr>
        <w:t xml:space="preserve">: </w:t>
      </w:r>
      <w:r>
        <w:rPr>
          <w:b/>
          <w:lang w:eastAsia="ja-JP"/>
        </w:rPr>
        <w:t>Support to extend default UL beam to mTRP scenario.</w:t>
      </w:r>
    </w:p>
    <w:p w14:paraId="7AB5E1CE" w14:textId="4BF4830F" w:rsidR="005D7FCD" w:rsidRDefault="0064271B" w:rsidP="00E21481">
      <w:pPr>
        <w:jc w:val="both"/>
        <w:rPr>
          <w:b/>
          <w:lang w:eastAsia="ja-JP"/>
        </w:rPr>
      </w:pPr>
      <w:r w:rsidRPr="002E629B">
        <w:rPr>
          <w:b/>
          <w:u w:val="single"/>
          <w:lang w:eastAsia="ja-JP"/>
        </w:rPr>
        <w:t xml:space="preserve">Proposal </w:t>
      </w:r>
      <w:r>
        <w:rPr>
          <w:b/>
          <w:u w:val="single"/>
          <w:lang w:eastAsia="ja-JP"/>
        </w:rPr>
        <w:t>7</w:t>
      </w:r>
      <w:r w:rsidRPr="002E629B">
        <w:rPr>
          <w:b/>
          <w:lang w:eastAsia="ja-JP"/>
        </w:rPr>
        <w:t xml:space="preserve">: </w:t>
      </w:r>
      <w:r>
        <w:rPr>
          <w:b/>
          <w:lang w:eastAsia="ja-JP"/>
        </w:rPr>
        <w:t xml:space="preserve">Configured UL TCI state can indicate both spatial RS and </w:t>
      </w:r>
      <w:r w:rsidRPr="001B2C91">
        <w:rPr>
          <w:b/>
          <w:lang w:eastAsia="ja-JP"/>
        </w:rPr>
        <w:t>PL RS</w:t>
      </w:r>
      <w:r>
        <w:rPr>
          <w:b/>
          <w:lang w:eastAsia="ja-JP"/>
        </w:rPr>
        <w:t>.</w:t>
      </w:r>
    </w:p>
    <w:p w14:paraId="73471384" w14:textId="77777777" w:rsidR="0064271B" w:rsidRDefault="0064271B" w:rsidP="0064271B">
      <w:pPr>
        <w:jc w:val="both"/>
        <w:rPr>
          <w:b/>
          <w:lang w:eastAsia="ja-JP"/>
        </w:rPr>
      </w:pPr>
      <w:r w:rsidRPr="002E629B">
        <w:rPr>
          <w:b/>
          <w:u w:val="single"/>
          <w:lang w:eastAsia="ja-JP"/>
        </w:rPr>
        <w:t xml:space="preserve">Proposal </w:t>
      </w:r>
      <w:r>
        <w:rPr>
          <w:b/>
          <w:u w:val="single"/>
          <w:lang w:eastAsia="ja-JP"/>
        </w:rPr>
        <w:t>8</w:t>
      </w:r>
      <w:r w:rsidRPr="002E629B">
        <w:rPr>
          <w:b/>
          <w:lang w:eastAsia="ja-JP"/>
        </w:rPr>
        <w:t xml:space="preserve">: </w:t>
      </w:r>
      <w:r>
        <w:rPr>
          <w:b/>
          <w:lang w:eastAsia="ja-JP"/>
        </w:rPr>
        <w:t>For CB/NCB based PUSCH, scheduling DCI should indicate corresponding TPMI/TRI/SRI in or together with the UL TCI state.</w:t>
      </w:r>
    </w:p>
    <w:p w14:paraId="0D4AFD26" w14:textId="77777777" w:rsidR="0064271B" w:rsidRDefault="0064271B" w:rsidP="0064271B">
      <w:pPr>
        <w:jc w:val="both"/>
        <w:rPr>
          <w:b/>
          <w:lang w:eastAsia="ja-JP"/>
        </w:rPr>
      </w:pPr>
      <w:r w:rsidRPr="002E629B">
        <w:rPr>
          <w:b/>
          <w:u w:val="single"/>
          <w:lang w:eastAsia="ja-JP"/>
        </w:rPr>
        <w:t xml:space="preserve">Proposal </w:t>
      </w:r>
      <w:r>
        <w:rPr>
          <w:b/>
          <w:u w:val="single"/>
          <w:lang w:eastAsia="ja-JP"/>
        </w:rPr>
        <w:t>9</w:t>
      </w:r>
      <w:r w:rsidRPr="002E629B">
        <w:rPr>
          <w:b/>
          <w:lang w:eastAsia="ja-JP"/>
        </w:rPr>
        <w:t xml:space="preserve">: </w:t>
      </w:r>
      <w:r>
        <w:rPr>
          <w:b/>
          <w:lang w:eastAsia="ja-JP"/>
        </w:rPr>
        <w:t>MAC-CE can select/activate UL TCI state for PUCCH and P/SP/AP SRS resource.</w:t>
      </w:r>
    </w:p>
    <w:p w14:paraId="7A011B9B" w14:textId="77777777" w:rsidR="0064271B" w:rsidRPr="00E32A91" w:rsidRDefault="0064271B" w:rsidP="0064271B">
      <w:pPr>
        <w:jc w:val="both"/>
        <w:rPr>
          <w:b/>
          <w:lang w:eastAsia="ja-JP"/>
        </w:rPr>
      </w:pPr>
      <w:r w:rsidRPr="002E629B">
        <w:rPr>
          <w:b/>
          <w:u w:val="single"/>
          <w:lang w:eastAsia="ja-JP"/>
        </w:rPr>
        <w:t xml:space="preserve">Proposal </w:t>
      </w:r>
      <w:r>
        <w:rPr>
          <w:b/>
          <w:u w:val="single"/>
          <w:lang w:eastAsia="ja-JP"/>
        </w:rPr>
        <w:t>10</w:t>
      </w:r>
      <w:r w:rsidRPr="002E629B">
        <w:rPr>
          <w:b/>
          <w:lang w:eastAsia="ja-JP"/>
        </w:rPr>
        <w:t xml:space="preserve">: </w:t>
      </w:r>
      <w:r>
        <w:rPr>
          <w:b/>
          <w:lang w:eastAsia="ja-JP"/>
        </w:rPr>
        <w:t xml:space="preserve">For PUSCH scheduled by DCI, </w:t>
      </w:r>
      <w:r w:rsidRPr="006F0AFA">
        <w:rPr>
          <w:b/>
          <w:lang w:eastAsia="ja-JP"/>
        </w:rPr>
        <w:t>MAC-CE can activate a subset of configured UL TCI states, and the scheduling DCI can indicate corresponding UL TCI codepoint</w:t>
      </w:r>
      <w:r>
        <w:rPr>
          <w:b/>
          <w:lang w:eastAsia="ja-JP"/>
        </w:rPr>
        <w:t>.</w:t>
      </w:r>
    </w:p>
    <w:p w14:paraId="2521997A" w14:textId="77777777" w:rsidR="0064271B" w:rsidRPr="00584D80" w:rsidRDefault="0064271B" w:rsidP="0064271B">
      <w:pPr>
        <w:jc w:val="both"/>
        <w:rPr>
          <w:b/>
          <w:lang w:eastAsia="ja-JP"/>
        </w:rPr>
      </w:pPr>
      <w:r w:rsidRPr="00584D80">
        <w:rPr>
          <w:b/>
          <w:u w:val="single"/>
          <w:lang w:eastAsia="ja-JP"/>
        </w:rPr>
        <w:t xml:space="preserve">Proposal </w:t>
      </w:r>
      <w:r>
        <w:rPr>
          <w:b/>
          <w:u w:val="single"/>
          <w:lang w:eastAsia="ja-JP"/>
        </w:rPr>
        <w:t>11</w:t>
      </w:r>
      <w:r w:rsidRPr="00584D80">
        <w:rPr>
          <w:b/>
          <w:lang w:eastAsia="ja-JP"/>
        </w:rPr>
        <w:t>: Default UL beam</w:t>
      </w:r>
      <w:r>
        <w:rPr>
          <w:b/>
          <w:lang w:eastAsia="ja-JP"/>
        </w:rPr>
        <w:t xml:space="preserve"> </w:t>
      </w:r>
      <w:r w:rsidRPr="00584D80">
        <w:rPr>
          <w:b/>
          <w:lang w:eastAsia="ja-JP"/>
        </w:rPr>
        <w:t>defined when spatial relation is not configured can be reused for the case when UL TCI is not indicated</w:t>
      </w:r>
      <w:r>
        <w:rPr>
          <w:b/>
          <w:lang w:eastAsia="ja-JP"/>
        </w:rPr>
        <w:t>.</w:t>
      </w:r>
    </w:p>
    <w:p w14:paraId="11A1AAAC" w14:textId="77777777" w:rsidR="004A4A3F" w:rsidRPr="00E32A91" w:rsidRDefault="004A4A3F" w:rsidP="004A4A3F">
      <w:pPr>
        <w:jc w:val="both"/>
        <w:rPr>
          <w:b/>
          <w:lang w:eastAsia="ja-JP"/>
        </w:rPr>
      </w:pPr>
      <w:r w:rsidRPr="002E629B">
        <w:rPr>
          <w:b/>
          <w:u w:val="single"/>
          <w:lang w:eastAsia="ja-JP"/>
        </w:rPr>
        <w:t xml:space="preserve">Proposal </w:t>
      </w:r>
      <w:r>
        <w:rPr>
          <w:b/>
          <w:u w:val="single"/>
          <w:lang w:eastAsia="ja-JP"/>
        </w:rPr>
        <w:t>12</w:t>
      </w:r>
      <w:r w:rsidRPr="002E629B">
        <w:rPr>
          <w:b/>
          <w:lang w:eastAsia="ja-JP"/>
        </w:rPr>
        <w:t>:</w:t>
      </w:r>
      <w:r>
        <w:rPr>
          <w:b/>
          <w:lang w:eastAsia="ja-JP"/>
        </w:rPr>
        <w:t xml:space="preserve"> gNB should enable either UL TCI state or spatial relation for UL beam indication.</w:t>
      </w:r>
    </w:p>
    <w:p w14:paraId="29312A31" w14:textId="77777777" w:rsidR="004A4A3F" w:rsidRPr="009A2DEF" w:rsidRDefault="004A4A3F" w:rsidP="004A4A3F">
      <w:pPr>
        <w:jc w:val="both"/>
        <w:rPr>
          <w:b/>
          <w:lang w:eastAsia="ja-JP"/>
        </w:rPr>
      </w:pPr>
      <w:r w:rsidRPr="009A2DEF">
        <w:rPr>
          <w:b/>
          <w:u w:val="single"/>
          <w:lang w:eastAsia="ja-JP"/>
        </w:rPr>
        <w:t xml:space="preserve">Proposal </w:t>
      </w:r>
      <w:r>
        <w:rPr>
          <w:b/>
          <w:u w:val="single"/>
          <w:lang w:eastAsia="ja-JP"/>
        </w:rPr>
        <w:t>13</w:t>
      </w:r>
      <w:r w:rsidRPr="009A2DEF">
        <w:rPr>
          <w:b/>
          <w:lang w:eastAsia="ja-JP"/>
        </w:rPr>
        <w:t>: For L1/L2 intra-cell mobility, support multiple TAGs per serving cell</w:t>
      </w:r>
      <w:r>
        <w:rPr>
          <w:b/>
          <w:lang w:eastAsia="ja-JP"/>
        </w:rPr>
        <w:t>.</w:t>
      </w:r>
    </w:p>
    <w:p w14:paraId="7E54C4BD" w14:textId="48E24304" w:rsidR="0064271B" w:rsidRDefault="004A4A3F" w:rsidP="004A4A3F">
      <w:pPr>
        <w:numPr>
          <w:ilvl w:val="0"/>
          <w:numId w:val="13"/>
        </w:numPr>
        <w:tabs>
          <w:tab w:val="num" w:pos="720"/>
        </w:tabs>
        <w:spacing w:after="0"/>
        <w:rPr>
          <w:rFonts w:eastAsia="PMingLiU"/>
          <w:b/>
          <w:bCs/>
          <w:color w:val="000000"/>
          <w:lang w:val="en-US" w:eastAsia="zh-CN"/>
        </w:rPr>
      </w:pPr>
      <w:r w:rsidRPr="009A2DEF">
        <w:rPr>
          <w:rFonts w:eastAsia="PMingLiU"/>
          <w:b/>
          <w:bCs/>
          <w:color w:val="000000"/>
          <w:lang w:val="en-US" w:eastAsia="zh-CN"/>
        </w:rPr>
        <w:t xml:space="preserve">Each TAG can correspond to one or more TRPs </w:t>
      </w:r>
      <w:r>
        <w:rPr>
          <w:rFonts w:eastAsia="PMingLiU"/>
          <w:b/>
          <w:bCs/>
          <w:color w:val="000000"/>
          <w:lang w:val="en-US" w:eastAsia="zh-CN"/>
        </w:rPr>
        <w:t>with similar propagation delay to the UE.</w:t>
      </w:r>
    </w:p>
    <w:p w14:paraId="2B31D263" w14:textId="77777777" w:rsidR="004A4A3F" w:rsidRPr="004A4A3F" w:rsidRDefault="004A4A3F" w:rsidP="004A4A3F">
      <w:pPr>
        <w:spacing w:after="0"/>
        <w:ind w:left="720"/>
        <w:rPr>
          <w:rFonts w:eastAsia="PMingLiU"/>
          <w:b/>
          <w:bCs/>
          <w:color w:val="000000"/>
          <w:lang w:val="en-US" w:eastAsia="zh-CN"/>
        </w:rPr>
      </w:pPr>
    </w:p>
    <w:p w14:paraId="12113BB0" w14:textId="77777777" w:rsidR="004A4A3F" w:rsidRPr="00DA4FF4" w:rsidRDefault="004A4A3F" w:rsidP="004A4A3F">
      <w:pPr>
        <w:jc w:val="both"/>
        <w:rPr>
          <w:b/>
          <w:lang w:eastAsia="ja-JP"/>
        </w:rPr>
      </w:pPr>
      <w:r w:rsidRPr="002E629B">
        <w:rPr>
          <w:b/>
          <w:u w:val="single"/>
          <w:lang w:eastAsia="ja-JP"/>
        </w:rPr>
        <w:t xml:space="preserve">Proposal </w:t>
      </w:r>
      <w:r>
        <w:rPr>
          <w:b/>
          <w:u w:val="single"/>
          <w:lang w:eastAsia="ja-JP"/>
        </w:rPr>
        <w:t>14</w:t>
      </w:r>
      <w:r w:rsidRPr="002E629B">
        <w:rPr>
          <w:b/>
          <w:lang w:eastAsia="ja-JP"/>
        </w:rPr>
        <w:t xml:space="preserve">: </w:t>
      </w:r>
      <w:r>
        <w:rPr>
          <w:b/>
          <w:lang w:eastAsia="ja-JP"/>
        </w:rPr>
        <w:t>For L1/L2 inter-cell mobility, support TCI state with QCL source as SSB from non-serving PCI.</w:t>
      </w:r>
    </w:p>
    <w:p w14:paraId="3663DD8A" w14:textId="77777777" w:rsidR="001A3B0F" w:rsidRPr="00173160" w:rsidRDefault="001A3B0F" w:rsidP="001A3B0F">
      <w:pPr>
        <w:jc w:val="both"/>
        <w:rPr>
          <w:b/>
          <w:lang w:eastAsia="ja-JP"/>
        </w:rPr>
      </w:pPr>
      <w:r w:rsidRPr="002E629B">
        <w:rPr>
          <w:b/>
          <w:u w:val="single"/>
          <w:lang w:eastAsia="ja-JP"/>
        </w:rPr>
        <w:t xml:space="preserve">Proposal </w:t>
      </w:r>
      <w:r>
        <w:rPr>
          <w:b/>
          <w:u w:val="single"/>
          <w:lang w:eastAsia="ja-JP"/>
        </w:rPr>
        <w:t>15</w:t>
      </w:r>
      <w:r w:rsidRPr="002E629B">
        <w:rPr>
          <w:b/>
          <w:lang w:eastAsia="ja-JP"/>
        </w:rPr>
        <w:t xml:space="preserve">: </w:t>
      </w:r>
      <w:r>
        <w:rPr>
          <w:b/>
          <w:lang w:eastAsia="ja-JP"/>
        </w:rPr>
        <w:t>For L1/L2 inter-cell mobility, support L1/L2 based selection of serving cell(s), including PCell.</w:t>
      </w:r>
    </w:p>
    <w:p w14:paraId="3036D000" w14:textId="77777777" w:rsidR="001A3B0F" w:rsidRPr="00DA4FF4" w:rsidRDefault="001A3B0F" w:rsidP="001A3B0F">
      <w:pPr>
        <w:jc w:val="both"/>
        <w:rPr>
          <w:b/>
          <w:lang w:eastAsia="ja-JP"/>
        </w:rPr>
      </w:pPr>
      <w:r w:rsidRPr="002E629B">
        <w:rPr>
          <w:b/>
          <w:u w:val="single"/>
          <w:lang w:eastAsia="ja-JP"/>
        </w:rPr>
        <w:t xml:space="preserve">Proposal </w:t>
      </w:r>
      <w:r>
        <w:rPr>
          <w:b/>
          <w:u w:val="single"/>
          <w:lang w:eastAsia="ja-JP"/>
        </w:rPr>
        <w:t>16</w:t>
      </w:r>
      <w:r w:rsidRPr="002E629B">
        <w:rPr>
          <w:b/>
          <w:lang w:eastAsia="ja-JP"/>
        </w:rPr>
        <w:t xml:space="preserve">: </w:t>
      </w:r>
      <w:r>
        <w:rPr>
          <w:b/>
          <w:lang w:eastAsia="ja-JP"/>
        </w:rPr>
        <w:t>For L1/L2 inter-cell mobility, a set of candidate serving cells can be pre-configured for L1 measurement, based on which a subset of pre-configured cells can be dynamically activated by L1/L2.</w:t>
      </w:r>
    </w:p>
    <w:p w14:paraId="569EE1BD" w14:textId="77777777" w:rsidR="001A3B0F" w:rsidRPr="00DA4FF4" w:rsidRDefault="001A3B0F" w:rsidP="001A3B0F">
      <w:pPr>
        <w:jc w:val="both"/>
        <w:rPr>
          <w:b/>
          <w:lang w:eastAsia="ja-JP"/>
        </w:rPr>
      </w:pPr>
      <w:r w:rsidRPr="002E629B">
        <w:rPr>
          <w:b/>
          <w:u w:val="single"/>
          <w:lang w:eastAsia="ja-JP"/>
        </w:rPr>
        <w:t xml:space="preserve">Proposal </w:t>
      </w:r>
      <w:r>
        <w:rPr>
          <w:b/>
          <w:u w:val="single"/>
          <w:lang w:eastAsia="ja-JP"/>
        </w:rPr>
        <w:t>17</w:t>
      </w:r>
      <w:r w:rsidRPr="002E629B">
        <w:rPr>
          <w:b/>
          <w:lang w:eastAsia="ja-JP"/>
        </w:rPr>
        <w:t xml:space="preserve">: </w:t>
      </w:r>
      <w:r>
        <w:rPr>
          <w:b/>
          <w:lang w:eastAsia="ja-JP"/>
        </w:rPr>
        <w:t>Support updating timing advance for non-serving cell or PCI.</w:t>
      </w:r>
    </w:p>
    <w:p w14:paraId="40B7D6E3" w14:textId="77777777" w:rsidR="001A3B0F" w:rsidRDefault="001A3B0F" w:rsidP="001A3B0F">
      <w:pPr>
        <w:jc w:val="both"/>
        <w:rPr>
          <w:lang w:val="en-US"/>
        </w:rPr>
      </w:pPr>
      <w:r w:rsidRPr="00F12689">
        <w:rPr>
          <w:b/>
          <w:u w:val="single"/>
        </w:rPr>
        <w:t xml:space="preserve">Proposal </w:t>
      </w:r>
      <w:r>
        <w:rPr>
          <w:b/>
          <w:u w:val="single"/>
        </w:rPr>
        <w:t>18</w:t>
      </w:r>
      <w:r w:rsidRPr="002E629B">
        <w:rPr>
          <w:b/>
          <w:u w:val="single"/>
        </w:rPr>
        <w:t>:</w:t>
      </w:r>
      <w:r w:rsidRPr="002E629B">
        <w:rPr>
          <w:b/>
        </w:rPr>
        <w:t xml:space="preserve"> </w:t>
      </w:r>
      <w:r w:rsidRPr="000C0364">
        <w:rPr>
          <w:b/>
        </w:rPr>
        <w:t xml:space="preserve">Support UE to report </w:t>
      </w:r>
      <w:r>
        <w:rPr>
          <w:b/>
        </w:rPr>
        <w:t xml:space="preserve">preferred </w:t>
      </w:r>
      <w:r w:rsidRPr="000C0364">
        <w:rPr>
          <w:b/>
        </w:rPr>
        <w:t xml:space="preserve">CRI/SSBRI for </w:t>
      </w:r>
      <w:r>
        <w:rPr>
          <w:b/>
        </w:rPr>
        <w:t xml:space="preserve">DL and </w:t>
      </w:r>
      <w:r w:rsidRPr="000C0364">
        <w:rPr>
          <w:b/>
        </w:rPr>
        <w:t>UL transmission</w:t>
      </w:r>
      <w:r>
        <w:rPr>
          <w:b/>
        </w:rPr>
        <w:t>s, separately</w:t>
      </w:r>
      <w:r>
        <w:t>.</w:t>
      </w:r>
    </w:p>
    <w:p w14:paraId="570A6DB9" w14:textId="77777777" w:rsidR="001A3B0F" w:rsidRDefault="001A3B0F" w:rsidP="001A3B0F">
      <w:pPr>
        <w:jc w:val="both"/>
        <w:rPr>
          <w:b/>
        </w:rPr>
      </w:pPr>
      <w:r w:rsidRPr="00F12689">
        <w:rPr>
          <w:b/>
          <w:u w:val="single"/>
        </w:rPr>
        <w:t xml:space="preserve">Proposal </w:t>
      </w:r>
      <w:r>
        <w:rPr>
          <w:b/>
          <w:u w:val="single"/>
        </w:rPr>
        <w:t>19</w:t>
      </w:r>
      <w:r w:rsidRPr="002E629B">
        <w:rPr>
          <w:b/>
          <w:u w:val="single"/>
        </w:rPr>
        <w:t>:</w:t>
      </w:r>
      <w:r w:rsidRPr="002E629B">
        <w:rPr>
          <w:b/>
        </w:rPr>
        <w:t xml:space="preserve"> </w:t>
      </w:r>
      <w:r w:rsidRPr="000C0364">
        <w:rPr>
          <w:b/>
        </w:rPr>
        <w:t xml:space="preserve">Support </w:t>
      </w:r>
      <w:r>
        <w:rPr>
          <w:b/>
        </w:rPr>
        <w:t>UE to report UL beam failure due to MPE issue.</w:t>
      </w:r>
    </w:p>
    <w:p w14:paraId="1EC68534" w14:textId="7DF3C2BD" w:rsidR="0064271B" w:rsidRPr="001A3B0F" w:rsidRDefault="001A3B0F" w:rsidP="001A3B0F">
      <w:pPr>
        <w:pStyle w:val="ListParagraph"/>
        <w:numPr>
          <w:ilvl w:val="0"/>
          <w:numId w:val="12"/>
        </w:numPr>
        <w:spacing w:after="180"/>
      </w:pPr>
      <w:r>
        <w:rPr>
          <w:rFonts w:ascii="Times New Roman" w:eastAsia="Times New Roman" w:hAnsi="Times New Roman" w:cs="Times New Roman"/>
          <w:b/>
          <w:sz w:val="20"/>
          <w:szCs w:val="20"/>
        </w:rPr>
        <w:t>The Rel-15/16 BFR procedure can be a reference for the MPE reporting procedure.</w:t>
      </w:r>
    </w:p>
    <w:p w14:paraId="5775F9A2" w14:textId="77777777" w:rsidR="001A3B0F" w:rsidRDefault="001A3B0F" w:rsidP="001A3B0F">
      <w:pPr>
        <w:jc w:val="both"/>
        <w:rPr>
          <w:b/>
        </w:rPr>
      </w:pPr>
      <w:r w:rsidRPr="00F12689">
        <w:rPr>
          <w:b/>
          <w:u w:val="single"/>
        </w:rPr>
        <w:t xml:space="preserve">Proposal </w:t>
      </w:r>
      <w:r>
        <w:rPr>
          <w:b/>
          <w:u w:val="single"/>
        </w:rPr>
        <w:t>20</w:t>
      </w:r>
      <w:r w:rsidRPr="002E629B">
        <w:rPr>
          <w:b/>
          <w:u w:val="single"/>
        </w:rPr>
        <w:t>:</w:t>
      </w:r>
      <w:r w:rsidRPr="002E629B">
        <w:rPr>
          <w:b/>
        </w:rPr>
        <w:t xml:space="preserve"> </w:t>
      </w:r>
      <w:r>
        <w:rPr>
          <w:b/>
        </w:rPr>
        <w:t>The condition for UE to trigger MPE report should be specified.</w:t>
      </w:r>
    </w:p>
    <w:p w14:paraId="12802C9C" w14:textId="77777777" w:rsidR="002E629B" w:rsidRPr="002E629B" w:rsidRDefault="002E629B" w:rsidP="002E629B"/>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EA0984E" w14:textId="08F7FE5F" w:rsidR="00B20377" w:rsidRDefault="002E629B">
      <w:pPr>
        <w:numPr>
          <w:ilvl w:val="0"/>
          <w:numId w:val="2"/>
        </w:numPr>
        <w:spacing w:after="0"/>
        <w:rPr>
          <w:rFonts w:eastAsia="PMingLiU"/>
          <w:lang w:val="en-US"/>
        </w:rPr>
      </w:pPr>
      <w:r w:rsidRPr="002E629B">
        <w:rPr>
          <w:rFonts w:eastAsia="PMingLiU"/>
          <w:lang w:val="en-US"/>
        </w:rPr>
        <w:t>RP-1</w:t>
      </w:r>
      <w:r w:rsidR="00851AB8">
        <w:rPr>
          <w:rFonts w:eastAsia="PMingLiU"/>
          <w:lang w:val="en-US"/>
        </w:rPr>
        <w:t>93133</w:t>
      </w:r>
      <w:r w:rsidRPr="002E629B">
        <w:rPr>
          <w:rFonts w:eastAsia="PMingLiU"/>
          <w:lang w:val="en-US"/>
        </w:rPr>
        <w:t xml:space="preserve"> </w:t>
      </w:r>
      <w:bookmarkEnd w:id="0"/>
      <w:r w:rsidR="00851AB8">
        <w:rPr>
          <w:rFonts w:eastAsia="PMingLiU"/>
          <w:lang w:val="en-US"/>
        </w:rPr>
        <w:t>Further enhancement on MIMO for NR</w:t>
      </w:r>
    </w:p>
    <w:p w14:paraId="2CE648A5" w14:textId="07456E9C" w:rsidR="00855D76" w:rsidRPr="00BB02E7" w:rsidRDefault="00855D76">
      <w:pPr>
        <w:numPr>
          <w:ilvl w:val="0"/>
          <w:numId w:val="2"/>
        </w:numPr>
        <w:spacing w:after="0"/>
        <w:rPr>
          <w:rFonts w:eastAsia="PMingLiU"/>
          <w:lang w:val="en-US"/>
        </w:rPr>
      </w:pPr>
      <w:r>
        <w:rPr>
          <w:rFonts w:eastAsia="PMingLiU"/>
          <w:lang w:val="en-US"/>
        </w:rPr>
        <w:t>TS 38.802/913</w:t>
      </w:r>
    </w:p>
    <w:sectPr w:rsidR="00855D76" w:rsidRPr="00BB02E7" w:rsidSect="00F510BE">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0F66B" w14:textId="77777777" w:rsidR="00C249F6" w:rsidRDefault="00C249F6" w:rsidP="00CB4000">
      <w:pPr>
        <w:spacing w:after="0"/>
      </w:pPr>
      <w:r>
        <w:separator/>
      </w:r>
    </w:p>
  </w:endnote>
  <w:endnote w:type="continuationSeparator" w:id="0">
    <w:p w14:paraId="3CCAA9B1" w14:textId="77777777" w:rsidR="00C249F6" w:rsidRDefault="00C249F6" w:rsidP="00CB4000">
      <w:pPr>
        <w:spacing w:after="0"/>
      </w:pPr>
      <w:r>
        <w:continuationSeparator/>
      </w:r>
    </w:p>
  </w:endnote>
  <w:endnote w:type="continuationNotice" w:id="1">
    <w:p w14:paraId="431ED542" w14:textId="77777777" w:rsidR="00C249F6" w:rsidRDefault="00C24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858A8" w14:textId="77777777" w:rsidR="00025FE3" w:rsidRDefault="00025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025FE3" w:rsidRDefault="00025FE3">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025FE3" w:rsidRDefault="00025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DD506" w14:textId="77777777" w:rsidR="00025FE3" w:rsidRDefault="00025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B565E" w14:textId="77777777" w:rsidR="00C249F6" w:rsidRDefault="00C249F6" w:rsidP="00CB4000">
      <w:pPr>
        <w:spacing w:after="0"/>
      </w:pPr>
      <w:r>
        <w:separator/>
      </w:r>
    </w:p>
  </w:footnote>
  <w:footnote w:type="continuationSeparator" w:id="0">
    <w:p w14:paraId="03236CA4" w14:textId="77777777" w:rsidR="00C249F6" w:rsidRDefault="00C249F6" w:rsidP="00CB4000">
      <w:pPr>
        <w:spacing w:after="0"/>
      </w:pPr>
      <w:r>
        <w:continuationSeparator/>
      </w:r>
    </w:p>
  </w:footnote>
  <w:footnote w:type="continuationNotice" w:id="1">
    <w:p w14:paraId="318183D5" w14:textId="77777777" w:rsidR="00C249F6" w:rsidRDefault="00C249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43A44" w14:textId="77777777" w:rsidR="00025FE3" w:rsidRDefault="00025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5D85F" w14:textId="77777777" w:rsidR="00025FE3" w:rsidRDefault="00025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C5411" w14:textId="77777777" w:rsidR="00025FE3" w:rsidRDefault="00025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619E7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7"/>
  </w:num>
  <w:num w:numId="3">
    <w:abstractNumId w:val="6"/>
  </w:num>
  <w:num w:numId="4">
    <w:abstractNumId w:val="3"/>
  </w:num>
  <w:num w:numId="5">
    <w:abstractNumId w:val="1"/>
  </w:num>
  <w:num w:numId="6">
    <w:abstractNumId w:val="11"/>
  </w:num>
  <w:num w:numId="7">
    <w:abstractNumId w:val="4"/>
  </w:num>
  <w:num w:numId="8">
    <w:abstractNumId w:val="10"/>
  </w:num>
  <w:num w:numId="9">
    <w:abstractNumId w:val="5"/>
  </w:num>
  <w:num w:numId="10">
    <w:abstractNumId w:val="9"/>
  </w:num>
  <w:num w:numId="11">
    <w:abstractNumId w:val="2"/>
  </w:num>
  <w:num w:numId="12">
    <w:abstractNumId w:val="0"/>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B49"/>
    <w:rsid w:val="00004F3C"/>
    <w:rsid w:val="00004F9E"/>
    <w:rsid w:val="000051C9"/>
    <w:rsid w:val="0000670E"/>
    <w:rsid w:val="000068E7"/>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3385"/>
    <w:rsid w:val="00063D9E"/>
    <w:rsid w:val="000640C3"/>
    <w:rsid w:val="00064417"/>
    <w:rsid w:val="000650A0"/>
    <w:rsid w:val="000653A2"/>
    <w:rsid w:val="00065736"/>
    <w:rsid w:val="00065D76"/>
    <w:rsid w:val="00067AA3"/>
    <w:rsid w:val="00067DCC"/>
    <w:rsid w:val="0007092B"/>
    <w:rsid w:val="00070CA5"/>
    <w:rsid w:val="00070EC9"/>
    <w:rsid w:val="00071E09"/>
    <w:rsid w:val="000720B3"/>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E95"/>
    <w:rsid w:val="000A77D1"/>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FAD"/>
    <w:rsid w:val="000D3560"/>
    <w:rsid w:val="000D4A69"/>
    <w:rsid w:val="000D4F1A"/>
    <w:rsid w:val="000D5237"/>
    <w:rsid w:val="000D57C4"/>
    <w:rsid w:val="000D68A7"/>
    <w:rsid w:val="000D6E16"/>
    <w:rsid w:val="000D6EEA"/>
    <w:rsid w:val="000D6F13"/>
    <w:rsid w:val="000D6F51"/>
    <w:rsid w:val="000D7892"/>
    <w:rsid w:val="000D7D46"/>
    <w:rsid w:val="000E074A"/>
    <w:rsid w:val="000E0755"/>
    <w:rsid w:val="000E12E9"/>
    <w:rsid w:val="000E1434"/>
    <w:rsid w:val="000E15BA"/>
    <w:rsid w:val="000E20C4"/>
    <w:rsid w:val="000E26DC"/>
    <w:rsid w:val="000E3248"/>
    <w:rsid w:val="000E359A"/>
    <w:rsid w:val="000E3708"/>
    <w:rsid w:val="000E3C23"/>
    <w:rsid w:val="000E5CE3"/>
    <w:rsid w:val="000E6370"/>
    <w:rsid w:val="000E66F3"/>
    <w:rsid w:val="000E66FB"/>
    <w:rsid w:val="000E7149"/>
    <w:rsid w:val="000E7323"/>
    <w:rsid w:val="000E741C"/>
    <w:rsid w:val="000F0C37"/>
    <w:rsid w:val="000F0E27"/>
    <w:rsid w:val="000F1BC5"/>
    <w:rsid w:val="000F1C6D"/>
    <w:rsid w:val="000F2203"/>
    <w:rsid w:val="000F259C"/>
    <w:rsid w:val="000F3052"/>
    <w:rsid w:val="000F3D8E"/>
    <w:rsid w:val="000F4161"/>
    <w:rsid w:val="000F42A6"/>
    <w:rsid w:val="000F5B1A"/>
    <w:rsid w:val="000F5DFC"/>
    <w:rsid w:val="00100317"/>
    <w:rsid w:val="00100528"/>
    <w:rsid w:val="00100647"/>
    <w:rsid w:val="00100D01"/>
    <w:rsid w:val="00101905"/>
    <w:rsid w:val="00102380"/>
    <w:rsid w:val="0010251A"/>
    <w:rsid w:val="00102781"/>
    <w:rsid w:val="00103401"/>
    <w:rsid w:val="00103BC1"/>
    <w:rsid w:val="00104DB7"/>
    <w:rsid w:val="00104F9D"/>
    <w:rsid w:val="00105055"/>
    <w:rsid w:val="001054E0"/>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A94"/>
    <w:rsid w:val="00145B24"/>
    <w:rsid w:val="00145FF1"/>
    <w:rsid w:val="0014608B"/>
    <w:rsid w:val="001461A3"/>
    <w:rsid w:val="001462C9"/>
    <w:rsid w:val="00146A0B"/>
    <w:rsid w:val="00146A81"/>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6AF"/>
    <w:rsid w:val="00177844"/>
    <w:rsid w:val="00177A80"/>
    <w:rsid w:val="001806AF"/>
    <w:rsid w:val="00180AD0"/>
    <w:rsid w:val="00180E6C"/>
    <w:rsid w:val="00181473"/>
    <w:rsid w:val="00182340"/>
    <w:rsid w:val="001823B2"/>
    <w:rsid w:val="00182C77"/>
    <w:rsid w:val="00183030"/>
    <w:rsid w:val="00183C20"/>
    <w:rsid w:val="00184392"/>
    <w:rsid w:val="0018524D"/>
    <w:rsid w:val="00186B7E"/>
    <w:rsid w:val="00186FBF"/>
    <w:rsid w:val="00187083"/>
    <w:rsid w:val="0018723F"/>
    <w:rsid w:val="00187600"/>
    <w:rsid w:val="00187744"/>
    <w:rsid w:val="00187BBE"/>
    <w:rsid w:val="00190C83"/>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21D"/>
    <w:rsid w:val="001A3918"/>
    <w:rsid w:val="001A3AC8"/>
    <w:rsid w:val="001A3B0F"/>
    <w:rsid w:val="001A429D"/>
    <w:rsid w:val="001A5A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5037"/>
    <w:rsid w:val="001D576A"/>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259"/>
    <w:rsid w:val="00227466"/>
    <w:rsid w:val="002277FB"/>
    <w:rsid w:val="00227CBD"/>
    <w:rsid w:val="0023067E"/>
    <w:rsid w:val="00230AB4"/>
    <w:rsid w:val="0023110B"/>
    <w:rsid w:val="002316C5"/>
    <w:rsid w:val="0023243B"/>
    <w:rsid w:val="00232DE4"/>
    <w:rsid w:val="00232FC5"/>
    <w:rsid w:val="0023341E"/>
    <w:rsid w:val="00233FDC"/>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3C99"/>
    <w:rsid w:val="0024578D"/>
    <w:rsid w:val="00245919"/>
    <w:rsid w:val="00245BAE"/>
    <w:rsid w:val="00245DD1"/>
    <w:rsid w:val="0024657C"/>
    <w:rsid w:val="00246983"/>
    <w:rsid w:val="00246ABC"/>
    <w:rsid w:val="00251652"/>
    <w:rsid w:val="00251FAE"/>
    <w:rsid w:val="00252671"/>
    <w:rsid w:val="002528C4"/>
    <w:rsid w:val="00252980"/>
    <w:rsid w:val="002529BE"/>
    <w:rsid w:val="00252D50"/>
    <w:rsid w:val="00253032"/>
    <w:rsid w:val="0025352F"/>
    <w:rsid w:val="0025380D"/>
    <w:rsid w:val="00253A7B"/>
    <w:rsid w:val="00253D9A"/>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D6D"/>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4EE"/>
    <w:rsid w:val="00277F57"/>
    <w:rsid w:val="0028029F"/>
    <w:rsid w:val="00280A71"/>
    <w:rsid w:val="00280FF8"/>
    <w:rsid w:val="00281A40"/>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ABD"/>
    <w:rsid w:val="002A1B5E"/>
    <w:rsid w:val="002A259F"/>
    <w:rsid w:val="002A3772"/>
    <w:rsid w:val="002A3D38"/>
    <w:rsid w:val="002A4666"/>
    <w:rsid w:val="002A61A7"/>
    <w:rsid w:val="002A6202"/>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56C1"/>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3AF"/>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54"/>
    <w:rsid w:val="003343F8"/>
    <w:rsid w:val="003347D9"/>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921"/>
    <w:rsid w:val="00347B82"/>
    <w:rsid w:val="00347E7A"/>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BA0"/>
    <w:rsid w:val="003775C9"/>
    <w:rsid w:val="00380823"/>
    <w:rsid w:val="00380CA9"/>
    <w:rsid w:val="0038121F"/>
    <w:rsid w:val="0038211B"/>
    <w:rsid w:val="00382755"/>
    <w:rsid w:val="003827E2"/>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54CD"/>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0DC3"/>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237C"/>
    <w:rsid w:val="003F23D6"/>
    <w:rsid w:val="003F2437"/>
    <w:rsid w:val="003F34FA"/>
    <w:rsid w:val="003F456D"/>
    <w:rsid w:val="003F4630"/>
    <w:rsid w:val="003F4665"/>
    <w:rsid w:val="003F5AB4"/>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0CB1"/>
    <w:rsid w:val="0041118D"/>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4A3F"/>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EDC"/>
    <w:rsid w:val="004C7689"/>
    <w:rsid w:val="004C76F3"/>
    <w:rsid w:val="004D02BF"/>
    <w:rsid w:val="004D0E46"/>
    <w:rsid w:val="004D0F40"/>
    <w:rsid w:val="004D126E"/>
    <w:rsid w:val="004D1715"/>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5D49"/>
    <w:rsid w:val="005161FC"/>
    <w:rsid w:val="0051643C"/>
    <w:rsid w:val="005164FF"/>
    <w:rsid w:val="00516AE7"/>
    <w:rsid w:val="00516FA8"/>
    <w:rsid w:val="005200C5"/>
    <w:rsid w:val="0052013B"/>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74C5"/>
    <w:rsid w:val="00527519"/>
    <w:rsid w:val="00527561"/>
    <w:rsid w:val="00527E99"/>
    <w:rsid w:val="0053131A"/>
    <w:rsid w:val="005320A9"/>
    <w:rsid w:val="00532256"/>
    <w:rsid w:val="005322BA"/>
    <w:rsid w:val="005328BC"/>
    <w:rsid w:val="00533E88"/>
    <w:rsid w:val="00535D56"/>
    <w:rsid w:val="0053646A"/>
    <w:rsid w:val="0053648E"/>
    <w:rsid w:val="00537311"/>
    <w:rsid w:val="00537822"/>
    <w:rsid w:val="00537BE8"/>
    <w:rsid w:val="00540CD9"/>
    <w:rsid w:val="00540D1A"/>
    <w:rsid w:val="00540FCA"/>
    <w:rsid w:val="00541235"/>
    <w:rsid w:val="00541ACA"/>
    <w:rsid w:val="00541B3E"/>
    <w:rsid w:val="00542053"/>
    <w:rsid w:val="00542302"/>
    <w:rsid w:val="0054265D"/>
    <w:rsid w:val="00542DFF"/>
    <w:rsid w:val="00543317"/>
    <w:rsid w:val="00543CC7"/>
    <w:rsid w:val="00543D1F"/>
    <w:rsid w:val="00545433"/>
    <w:rsid w:val="005457D0"/>
    <w:rsid w:val="00545EAA"/>
    <w:rsid w:val="00545F58"/>
    <w:rsid w:val="005460B7"/>
    <w:rsid w:val="0054620C"/>
    <w:rsid w:val="005466E2"/>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602C9"/>
    <w:rsid w:val="0056091F"/>
    <w:rsid w:val="0056092A"/>
    <w:rsid w:val="00560FEC"/>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77B60"/>
    <w:rsid w:val="00580518"/>
    <w:rsid w:val="00580AF9"/>
    <w:rsid w:val="00580CC9"/>
    <w:rsid w:val="00580FA2"/>
    <w:rsid w:val="00581AC8"/>
    <w:rsid w:val="00581AC9"/>
    <w:rsid w:val="0058251C"/>
    <w:rsid w:val="00583552"/>
    <w:rsid w:val="00583C8F"/>
    <w:rsid w:val="005840DB"/>
    <w:rsid w:val="00584D80"/>
    <w:rsid w:val="005854EA"/>
    <w:rsid w:val="00585C3A"/>
    <w:rsid w:val="00586AC6"/>
    <w:rsid w:val="00586C04"/>
    <w:rsid w:val="00586E2D"/>
    <w:rsid w:val="0058761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216E"/>
    <w:rsid w:val="005A29A4"/>
    <w:rsid w:val="005A34E0"/>
    <w:rsid w:val="005A3B98"/>
    <w:rsid w:val="005A4626"/>
    <w:rsid w:val="005A48C9"/>
    <w:rsid w:val="005A5011"/>
    <w:rsid w:val="005A5F26"/>
    <w:rsid w:val="005A701D"/>
    <w:rsid w:val="005A728E"/>
    <w:rsid w:val="005A766D"/>
    <w:rsid w:val="005B08CC"/>
    <w:rsid w:val="005B0EF2"/>
    <w:rsid w:val="005B139F"/>
    <w:rsid w:val="005B1C1B"/>
    <w:rsid w:val="005B2C01"/>
    <w:rsid w:val="005B2D2C"/>
    <w:rsid w:val="005B2EDE"/>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F18"/>
    <w:rsid w:val="0062100B"/>
    <w:rsid w:val="006225B3"/>
    <w:rsid w:val="0062264E"/>
    <w:rsid w:val="0062325A"/>
    <w:rsid w:val="00623873"/>
    <w:rsid w:val="006239C4"/>
    <w:rsid w:val="006241CD"/>
    <w:rsid w:val="00624C40"/>
    <w:rsid w:val="006253D4"/>
    <w:rsid w:val="00626662"/>
    <w:rsid w:val="00627801"/>
    <w:rsid w:val="00632B13"/>
    <w:rsid w:val="00632C76"/>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4622"/>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89A"/>
    <w:rsid w:val="006B0D54"/>
    <w:rsid w:val="006B132F"/>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AFA"/>
    <w:rsid w:val="006F1546"/>
    <w:rsid w:val="006F1794"/>
    <w:rsid w:val="006F222D"/>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E73"/>
    <w:rsid w:val="00723189"/>
    <w:rsid w:val="0072368F"/>
    <w:rsid w:val="00725F4E"/>
    <w:rsid w:val="007263FA"/>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E83"/>
    <w:rsid w:val="007400CB"/>
    <w:rsid w:val="007402DD"/>
    <w:rsid w:val="007404D6"/>
    <w:rsid w:val="00740F77"/>
    <w:rsid w:val="007410D4"/>
    <w:rsid w:val="00741346"/>
    <w:rsid w:val="00742E11"/>
    <w:rsid w:val="0074343D"/>
    <w:rsid w:val="0074369B"/>
    <w:rsid w:val="00744954"/>
    <w:rsid w:val="00744A74"/>
    <w:rsid w:val="007451A1"/>
    <w:rsid w:val="00746DB1"/>
    <w:rsid w:val="00746EB9"/>
    <w:rsid w:val="00746EFE"/>
    <w:rsid w:val="0074772F"/>
    <w:rsid w:val="0074795B"/>
    <w:rsid w:val="00747BE3"/>
    <w:rsid w:val="00747C05"/>
    <w:rsid w:val="007501D4"/>
    <w:rsid w:val="00752A24"/>
    <w:rsid w:val="00753A36"/>
    <w:rsid w:val="00755452"/>
    <w:rsid w:val="00755D9F"/>
    <w:rsid w:val="00756A64"/>
    <w:rsid w:val="00756D3D"/>
    <w:rsid w:val="0076167B"/>
    <w:rsid w:val="00761818"/>
    <w:rsid w:val="007621A2"/>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F25"/>
    <w:rsid w:val="00787553"/>
    <w:rsid w:val="007875ED"/>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D5C"/>
    <w:rsid w:val="007A4564"/>
    <w:rsid w:val="007A4CBC"/>
    <w:rsid w:val="007A5124"/>
    <w:rsid w:val="007A5BE9"/>
    <w:rsid w:val="007A6982"/>
    <w:rsid w:val="007A6B67"/>
    <w:rsid w:val="007A7058"/>
    <w:rsid w:val="007A75BC"/>
    <w:rsid w:val="007A76C8"/>
    <w:rsid w:val="007A77AE"/>
    <w:rsid w:val="007A7AEF"/>
    <w:rsid w:val="007B0E6A"/>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C4E"/>
    <w:rsid w:val="007E2214"/>
    <w:rsid w:val="007E254B"/>
    <w:rsid w:val="007E316F"/>
    <w:rsid w:val="007E427E"/>
    <w:rsid w:val="007E47E6"/>
    <w:rsid w:val="007E72E5"/>
    <w:rsid w:val="007E7F27"/>
    <w:rsid w:val="007F001B"/>
    <w:rsid w:val="007F07BD"/>
    <w:rsid w:val="007F126D"/>
    <w:rsid w:val="007F2020"/>
    <w:rsid w:val="007F3269"/>
    <w:rsid w:val="007F3C7B"/>
    <w:rsid w:val="007F3DDF"/>
    <w:rsid w:val="007F668C"/>
    <w:rsid w:val="007F69A6"/>
    <w:rsid w:val="007F76EE"/>
    <w:rsid w:val="007F7995"/>
    <w:rsid w:val="007F7B8A"/>
    <w:rsid w:val="008008DB"/>
    <w:rsid w:val="0080261B"/>
    <w:rsid w:val="00803444"/>
    <w:rsid w:val="008039C2"/>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028C"/>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6054"/>
    <w:rsid w:val="008462B5"/>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38A6"/>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8A"/>
    <w:rsid w:val="008C27A2"/>
    <w:rsid w:val="008C2974"/>
    <w:rsid w:val="008C3238"/>
    <w:rsid w:val="008C348C"/>
    <w:rsid w:val="008C3742"/>
    <w:rsid w:val="008C43FC"/>
    <w:rsid w:val="008C509B"/>
    <w:rsid w:val="008C5DF2"/>
    <w:rsid w:val="008C6A74"/>
    <w:rsid w:val="008C6AC9"/>
    <w:rsid w:val="008C6B08"/>
    <w:rsid w:val="008C6D8C"/>
    <w:rsid w:val="008C6F5E"/>
    <w:rsid w:val="008C7D26"/>
    <w:rsid w:val="008C7EB5"/>
    <w:rsid w:val="008D015F"/>
    <w:rsid w:val="008D0C3E"/>
    <w:rsid w:val="008D0EEC"/>
    <w:rsid w:val="008D1CEE"/>
    <w:rsid w:val="008D28D7"/>
    <w:rsid w:val="008D2D07"/>
    <w:rsid w:val="008D47AD"/>
    <w:rsid w:val="008D5503"/>
    <w:rsid w:val="008D5C62"/>
    <w:rsid w:val="008D7CDC"/>
    <w:rsid w:val="008D7CF1"/>
    <w:rsid w:val="008E08C6"/>
    <w:rsid w:val="008E10E9"/>
    <w:rsid w:val="008E2633"/>
    <w:rsid w:val="008E270F"/>
    <w:rsid w:val="008E2EF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47E0"/>
    <w:rsid w:val="00915B07"/>
    <w:rsid w:val="00917058"/>
    <w:rsid w:val="00917B46"/>
    <w:rsid w:val="00920EA3"/>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DB"/>
    <w:rsid w:val="00927BAE"/>
    <w:rsid w:val="00930222"/>
    <w:rsid w:val="0093047D"/>
    <w:rsid w:val="009304AC"/>
    <w:rsid w:val="0093055B"/>
    <w:rsid w:val="0093123D"/>
    <w:rsid w:val="0093137E"/>
    <w:rsid w:val="00931A93"/>
    <w:rsid w:val="0093242F"/>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6698"/>
    <w:rsid w:val="00966B64"/>
    <w:rsid w:val="00966C21"/>
    <w:rsid w:val="0096719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304"/>
    <w:rsid w:val="00976498"/>
    <w:rsid w:val="00976745"/>
    <w:rsid w:val="00976E00"/>
    <w:rsid w:val="00980240"/>
    <w:rsid w:val="00980258"/>
    <w:rsid w:val="009807B3"/>
    <w:rsid w:val="00980833"/>
    <w:rsid w:val="0098162B"/>
    <w:rsid w:val="00982656"/>
    <w:rsid w:val="00982D88"/>
    <w:rsid w:val="00982D8C"/>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2DEF"/>
    <w:rsid w:val="009A34A2"/>
    <w:rsid w:val="009A3B7D"/>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6106"/>
    <w:rsid w:val="009B63E9"/>
    <w:rsid w:val="009C1FEF"/>
    <w:rsid w:val="009C2279"/>
    <w:rsid w:val="009C2797"/>
    <w:rsid w:val="009C2854"/>
    <w:rsid w:val="009C3B90"/>
    <w:rsid w:val="009C3DA3"/>
    <w:rsid w:val="009C46D7"/>
    <w:rsid w:val="009C56B6"/>
    <w:rsid w:val="009C56EC"/>
    <w:rsid w:val="009C693C"/>
    <w:rsid w:val="009C6A58"/>
    <w:rsid w:val="009C6E6F"/>
    <w:rsid w:val="009D0E30"/>
    <w:rsid w:val="009D1941"/>
    <w:rsid w:val="009D208C"/>
    <w:rsid w:val="009D238F"/>
    <w:rsid w:val="009D25D0"/>
    <w:rsid w:val="009D281E"/>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12855"/>
    <w:rsid w:val="00A13240"/>
    <w:rsid w:val="00A13C9E"/>
    <w:rsid w:val="00A1414C"/>
    <w:rsid w:val="00A14AD9"/>
    <w:rsid w:val="00A14D51"/>
    <w:rsid w:val="00A14DB7"/>
    <w:rsid w:val="00A14DFD"/>
    <w:rsid w:val="00A14EA8"/>
    <w:rsid w:val="00A15846"/>
    <w:rsid w:val="00A15FAA"/>
    <w:rsid w:val="00A16588"/>
    <w:rsid w:val="00A16B78"/>
    <w:rsid w:val="00A202E7"/>
    <w:rsid w:val="00A208EF"/>
    <w:rsid w:val="00A20D61"/>
    <w:rsid w:val="00A21181"/>
    <w:rsid w:val="00A21263"/>
    <w:rsid w:val="00A2175B"/>
    <w:rsid w:val="00A21FE2"/>
    <w:rsid w:val="00A2264F"/>
    <w:rsid w:val="00A22970"/>
    <w:rsid w:val="00A22EDC"/>
    <w:rsid w:val="00A23D45"/>
    <w:rsid w:val="00A24549"/>
    <w:rsid w:val="00A24E8E"/>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9FD"/>
    <w:rsid w:val="00A37155"/>
    <w:rsid w:val="00A372AE"/>
    <w:rsid w:val="00A37B56"/>
    <w:rsid w:val="00A40FBE"/>
    <w:rsid w:val="00A418A1"/>
    <w:rsid w:val="00A41D18"/>
    <w:rsid w:val="00A42383"/>
    <w:rsid w:val="00A42DED"/>
    <w:rsid w:val="00A433AA"/>
    <w:rsid w:val="00A4413C"/>
    <w:rsid w:val="00A448F6"/>
    <w:rsid w:val="00A44BB8"/>
    <w:rsid w:val="00A44C11"/>
    <w:rsid w:val="00A454D4"/>
    <w:rsid w:val="00A457FD"/>
    <w:rsid w:val="00A45A11"/>
    <w:rsid w:val="00A465BC"/>
    <w:rsid w:val="00A47BFE"/>
    <w:rsid w:val="00A50364"/>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D3"/>
    <w:rsid w:val="00A6339C"/>
    <w:rsid w:val="00A6434F"/>
    <w:rsid w:val="00A65DE9"/>
    <w:rsid w:val="00A660AB"/>
    <w:rsid w:val="00A667C4"/>
    <w:rsid w:val="00A669D1"/>
    <w:rsid w:val="00A714C2"/>
    <w:rsid w:val="00A71601"/>
    <w:rsid w:val="00A7171B"/>
    <w:rsid w:val="00A71735"/>
    <w:rsid w:val="00A7281C"/>
    <w:rsid w:val="00A72BCF"/>
    <w:rsid w:val="00A73100"/>
    <w:rsid w:val="00A73D72"/>
    <w:rsid w:val="00A73FAF"/>
    <w:rsid w:val="00A74FA6"/>
    <w:rsid w:val="00A7503D"/>
    <w:rsid w:val="00A76631"/>
    <w:rsid w:val="00A76C88"/>
    <w:rsid w:val="00A76E63"/>
    <w:rsid w:val="00A76E78"/>
    <w:rsid w:val="00A7732D"/>
    <w:rsid w:val="00A779FF"/>
    <w:rsid w:val="00A80464"/>
    <w:rsid w:val="00A810C6"/>
    <w:rsid w:val="00A81843"/>
    <w:rsid w:val="00A828BE"/>
    <w:rsid w:val="00A830B2"/>
    <w:rsid w:val="00A832EB"/>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D58"/>
    <w:rsid w:val="00AD0F02"/>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D8B"/>
    <w:rsid w:val="00AF2F6C"/>
    <w:rsid w:val="00AF423F"/>
    <w:rsid w:val="00AF4804"/>
    <w:rsid w:val="00AF55B0"/>
    <w:rsid w:val="00AF606B"/>
    <w:rsid w:val="00AF6471"/>
    <w:rsid w:val="00AF68E5"/>
    <w:rsid w:val="00AF7CB3"/>
    <w:rsid w:val="00B0060D"/>
    <w:rsid w:val="00B00AD6"/>
    <w:rsid w:val="00B00C2F"/>
    <w:rsid w:val="00B01486"/>
    <w:rsid w:val="00B01DB3"/>
    <w:rsid w:val="00B01F95"/>
    <w:rsid w:val="00B034B9"/>
    <w:rsid w:val="00B036D0"/>
    <w:rsid w:val="00B04091"/>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508BF"/>
    <w:rsid w:val="00B5148B"/>
    <w:rsid w:val="00B52F64"/>
    <w:rsid w:val="00B53CB2"/>
    <w:rsid w:val="00B54691"/>
    <w:rsid w:val="00B54E78"/>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3B8A"/>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B44"/>
    <w:rsid w:val="00BB0EA5"/>
    <w:rsid w:val="00BB176E"/>
    <w:rsid w:val="00BB220F"/>
    <w:rsid w:val="00BB24BC"/>
    <w:rsid w:val="00BB2DA2"/>
    <w:rsid w:val="00BB3673"/>
    <w:rsid w:val="00BB4BA3"/>
    <w:rsid w:val="00BB4BEC"/>
    <w:rsid w:val="00BB5FE9"/>
    <w:rsid w:val="00BB6488"/>
    <w:rsid w:val="00BB68EE"/>
    <w:rsid w:val="00BB78EB"/>
    <w:rsid w:val="00BC085F"/>
    <w:rsid w:val="00BC0E99"/>
    <w:rsid w:val="00BC11B4"/>
    <w:rsid w:val="00BC2158"/>
    <w:rsid w:val="00BC36CE"/>
    <w:rsid w:val="00BC3E96"/>
    <w:rsid w:val="00BC401A"/>
    <w:rsid w:val="00BC4916"/>
    <w:rsid w:val="00BC5736"/>
    <w:rsid w:val="00BC5B77"/>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49F6"/>
    <w:rsid w:val="00C251A5"/>
    <w:rsid w:val="00C25526"/>
    <w:rsid w:val="00C26638"/>
    <w:rsid w:val="00C277B4"/>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5FA"/>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55F"/>
    <w:rsid w:val="00CA6096"/>
    <w:rsid w:val="00CA6C56"/>
    <w:rsid w:val="00CA7907"/>
    <w:rsid w:val="00CA7F4E"/>
    <w:rsid w:val="00CB0985"/>
    <w:rsid w:val="00CB0E51"/>
    <w:rsid w:val="00CB0EBC"/>
    <w:rsid w:val="00CB0F23"/>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4C50"/>
    <w:rsid w:val="00CE649D"/>
    <w:rsid w:val="00CE6597"/>
    <w:rsid w:val="00CE6966"/>
    <w:rsid w:val="00CE69C0"/>
    <w:rsid w:val="00CF026D"/>
    <w:rsid w:val="00CF102D"/>
    <w:rsid w:val="00CF12AE"/>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D00111"/>
    <w:rsid w:val="00D00511"/>
    <w:rsid w:val="00D00F0B"/>
    <w:rsid w:val="00D02AB2"/>
    <w:rsid w:val="00D02C32"/>
    <w:rsid w:val="00D031B1"/>
    <w:rsid w:val="00D03812"/>
    <w:rsid w:val="00D03DBB"/>
    <w:rsid w:val="00D04279"/>
    <w:rsid w:val="00D04337"/>
    <w:rsid w:val="00D053E1"/>
    <w:rsid w:val="00D05B51"/>
    <w:rsid w:val="00D061AB"/>
    <w:rsid w:val="00D0623B"/>
    <w:rsid w:val="00D1012E"/>
    <w:rsid w:val="00D10467"/>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7CA"/>
    <w:rsid w:val="00D4393D"/>
    <w:rsid w:val="00D44337"/>
    <w:rsid w:val="00D44CA2"/>
    <w:rsid w:val="00D4510C"/>
    <w:rsid w:val="00D4652D"/>
    <w:rsid w:val="00D46553"/>
    <w:rsid w:val="00D4660C"/>
    <w:rsid w:val="00D468E6"/>
    <w:rsid w:val="00D4700C"/>
    <w:rsid w:val="00D4706E"/>
    <w:rsid w:val="00D471A9"/>
    <w:rsid w:val="00D471FD"/>
    <w:rsid w:val="00D5017F"/>
    <w:rsid w:val="00D50747"/>
    <w:rsid w:val="00D5075A"/>
    <w:rsid w:val="00D507C6"/>
    <w:rsid w:val="00D51F17"/>
    <w:rsid w:val="00D52112"/>
    <w:rsid w:val="00D52A27"/>
    <w:rsid w:val="00D5366F"/>
    <w:rsid w:val="00D54988"/>
    <w:rsid w:val="00D54F9B"/>
    <w:rsid w:val="00D552E2"/>
    <w:rsid w:val="00D565F4"/>
    <w:rsid w:val="00D575BA"/>
    <w:rsid w:val="00D57972"/>
    <w:rsid w:val="00D603FA"/>
    <w:rsid w:val="00D60E6A"/>
    <w:rsid w:val="00D61AD8"/>
    <w:rsid w:val="00D61C63"/>
    <w:rsid w:val="00D62466"/>
    <w:rsid w:val="00D63953"/>
    <w:rsid w:val="00D63BF7"/>
    <w:rsid w:val="00D63C7A"/>
    <w:rsid w:val="00D645AE"/>
    <w:rsid w:val="00D64A00"/>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14B"/>
    <w:rsid w:val="00DA4DFB"/>
    <w:rsid w:val="00DA4FF4"/>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295B"/>
    <w:rsid w:val="00DE31C2"/>
    <w:rsid w:val="00DE31E9"/>
    <w:rsid w:val="00DE3B1E"/>
    <w:rsid w:val="00DE4030"/>
    <w:rsid w:val="00DE4CB0"/>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104"/>
    <w:rsid w:val="00E25416"/>
    <w:rsid w:val="00E2776F"/>
    <w:rsid w:val="00E30BA2"/>
    <w:rsid w:val="00E3116F"/>
    <w:rsid w:val="00E31C91"/>
    <w:rsid w:val="00E31F4A"/>
    <w:rsid w:val="00E32A91"/>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1E3B"/>
    <w:rsid w:val="00E522BC"/>
    <w:rsid w:val="00E52A78"/>
    <w:rsid w:val="00E52E30"/>
    <w:rsid w:val="00E530F6"/>
    <w:rsid w:val="00E537A3"/>
    <w:rsid w:val="00E53AA8"/>
    <w:rsid w:val="00E53C7D"/>
    <w:rsid w:val="00E54377"/>
    <w:rsid w:val="00E547EE"/>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327"/>
    <w:rsid w:val="00E70C24"/>
    <w:rsid w:val="00E71D81"/>
    <w:rsid w:val="00E71F44"/>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606D"/>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DA"/>
    <w:rsid w:val="00ED7A9E"/>
    <w:rsid w:val="00EE007A"/>
    <w:rsid w:val="00EE0D34"/>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F73"/>
    <w:rsid w:val="00F12689"/>
    <w:rsid w:val="00F13B9F"/>
    <w:rsid w:val="00F14321"/>
    <w:rsid w:val="00F148BC"/>
    <w:rsid w:val="00F16FA1"/>
    <w:rsid w:val="00F1736A"/>
    <w:rsid w:val="00F20525"/>
    <w:rsid w:val="00F212C4"/>
    <w:rsid w:val="00F21874"/>
    <w:rsid w:val="00F21A29"/>
    <w:rsid w:val="00F21DB1"/>
    <w:rsid w:val="00F2357A"/>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5FB"/>
    <w:rsid w:val="00F526A7"/>
    <w:rsid w:val="00F52D02"/>
    <w:rsid w:val="00F53AAA"/>
    <w:rsid w:val="00F5435D"/>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4FC"/>
    <w:rsid w:val="00F758E8"/>
    <w:rsid w:val="00F760C2"/>
    <w:rsid w:val="00F762D9"/>
    <w:rsid w:val="00F76F7B"/>
    <w:rsid w:val="00F778AB"/>
    <w:rsid w:val="00F77F38"/>
    <w:rsid w:val="00F8059B"/>
    <w:rsid w:val="00F806C8"/>
    <w:rsid w:val="00F80C2A"/>
    <w:rsid w:val="00F81137"/>
    <w:rsid w:val="00F81538"/>
    <w:rsid w:val="00F834A0"/>
    <w:rsid w:val="00F8503D"/>
    <w:rsid w:val="00F854B7"/>
    <w:rsid w:val="00F85E18"/>
    <w:rsid w:val="00F8684E"/>
    <w:rsid w:val="00F86895"/>
    <w:rsid w:val="00F8700A"/>
    <w:rsid w:val="00F874CA"/>
    <w:rsid w:val="00F90E32"/>
    <w:rsid w:val="00F91148"/>
    <w:rsid w:val="00F91417"/>
    <w:rsid w:val="00F93DF3"/>
    <w:rsid w:val="00F93DFB"/>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A6FC8"/>
    <w:rsid w:val="00FA7E7E"/>
    <w:rsid w:val="00FB140C"/>
    <w:rsid w:val="00FB19D8"/>
    <w:rsid w:val="00FB23C4"/>
    <w:rsid w:val="00FB2D5E"/>
    <w:rsid w:val="00FB3D25"/>
    <w:rsid w:val="00FB4D73"/>
    <w:rsid w:val="00FB53C2"/>
    <w:rsid w:val="00FB7698"/>
    <w:rsid w:val="00FB7FE3"/>
    <w:rsid w:val="00FC1762"/>
    <w:rsid w:val="00FC2013"/>
    <w:rsid w:val="00FC25A0"/>
    <w:rsid w:val="00FC39F7"/>
    <w:rsid w:val="00FC3AEA"/>
    <w:rsid w:val="00FC3E1F"/>
    <w:rsid w:val="00FC4CA5"/>
    <w:rsid w:val="00FC52AF"/>
    <w:rsid w:val="00FC70C4"/>
    <w:rsid w:val="00FC766F"/>
    <w:rsid w:val="00FC7B61"/>
    <w:rsid w:val="00FD01F7"/>
    <w:rsid w:val="00FD0E85"/>
    <w:rsid w:val="00FD12B2"/>
    <w:rsid w:val="00FD1492"/>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2FHT6SDPEKRM-4-38672</_dlc_DocId>
    <_dlc_DocIdUrl xmlns="2f0fb0e4-6f95-4f64-8efb-58e3d90405ce">
      <Url>https://projects.qualcomm.com/sites/SkyBer/_layouts/15/DocIdRedir.aspx?ID=2FHT6SDPEKRM-4-38672</Url>
      <Description>2FHT6SDPEKRM-4-38672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purl.org/dc/elements/1.1/"/>
    <ds:schemaRef ds:uri="http://schemas.microsoft.com/office/2006/metadata/properties"/>
    <ds:schemaRef ds:uri="http://schemas.microsoft.com/sharepoint/v3"/>
    <ds:schemaRef ds:uri="http://schemas.microsoft.com/sharepoint/v4"/>
    <ds:schemaRef ds:uri="http://purl.org/dc/terms/"/>
    <ds:schemaRef ds:uri="2f0fb0e4-6f95-4f64-8efb-58e3d90405c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E855605D-B600-49A2-9AB0-E8EA36430EED}">
  <ds:schemaRefs>
    <ds:schemaRef ds:uri="office.server.policy"/>
  </ds:schemaRefs>
</ds:datastoreItem>
</file>

<file path=customXml/itemProps5.xml><?xml version="1.0" encoding="utf-8"?>
<ds:datastoreItem xmlns:ds="http://schemas.openxmlformats.org/officeDocument/2006/customXml" ds:itemID="{962901DE-0B43-4A66-A5EA-E9649970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0F6F52-BB75-4C24-B100-BF04B58D9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7</Pages>
  <Words>2927</Words>
  <Characters>16687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177</cp:revision>
  <cp:lastPrinted>2019-09-26T18:16:00Z</cp:lastPrinted>
  <dcterms:created xsi:type="dcterms:W3CDTF">2020-08-05T23:39:00Z</dcterms:created>
  <dcterms:modified xsi:type="dcterms:W3CDTF">2020-08-07T22:44:00Z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86768da8-0d8e-4b29-ad0e-99757c99bc10</vt:lpwstr>
  </property>
</Properties>
</file>